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3ED8EA53" w:rsidR="00CE611C" w:rsidRDefault="00544AC6">
      <w:pPr>
        <w:spacing w:after="0" w:line="259" w:lineRule="auto"/>
        <w:ind w:left="1901" w:firstLine="0"/>
        <w:jc w:val="left"/>
      </w:pPr>
      <w:r w:rsidRPr="00F67762">
        <w:rPr>
          <w:b/>
          <w:bCs/>
          <w:noProof/>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Pr>
          <w:rFonts w:ascii="Calibri" w:eastAsia="Calibri" w:hAnsi="Calibri" w:cs="Calibri"/>
        </w:rPr>
        <w:t xml:space="preserve"> </w:t>
      </w:r>
    </w:p>
    <w:p w14:paraId="53C78507" w14:textId="77777777" w:rsidR="00544AC6" w:rsidRDefault="00961C97" w:rsidP="00544AC6">
      <w:pPr>
        <w:spacing w:after="310" w:line="259" w:lineRule="auto"/>
        <w:ind w:left="587" w:firstLine="0"/>
        <w:jc w:val="center"/>
        <w:rPr>
          <w:b/>
        </w:rPr>
      </w:pPr>
      <w:r>
        <w:rPr>
          <w:b/>
        </w:rPr>
        <w:t xml:space="preserve"> </w:t>
      </w:r>
    </w:p>
    <w:p w14:paraId="0EB73EF2" w14:textId="62FE6076" w:rsidR="00CE611C" w:rsidRPr="004A2116" w:rsidRDefault="00961C97" w:rsidP="00544AC6">
      <w:pPr>
        <w:spacing w:after="310" w:line="259" w:lineRule="auto"/>
        <w:ind w:left="587" w:firstLine="0"/>
        <w:jc w:val="center"/>
        <w:rPr>
          <w:sz w:val="24"/>
          <w:szCs w:val="24"/>
        </w:rPr>
      </w:pPr>
      <w:r w:rsidRPr="004A2116">
        <w:rPr>
          <w:b/>
          <w:sz w:val="24"/>
          <w:szCs w:val="24"/>
        </w:rPr>
        <w:t xml:space="preserve">П Ъ Л Н О М О Щ Н О </w:t>
      </w:r>
    </w:p>
    <w:p w14:paraId="5C123605" w14:textId="29EF2177" w:rsidR="00CE611C" w:rsidRPr="007866B1" w:rsidRDefault="00961C97" w:rsidP="007866B1">
      <w:pPr>
        <w:pStyle w:val="NoSpacing"/>
      </w:pPr>
      <w:r w:rsidRPr="007866B1">
        <w:t>Долуподписаният</w:t>
      </w:r>
      <w:r w:rsidR="00544AC6" w:rsidRPr="007866B1">
        <w:t>/ата</w:t>
      </w:r>
      <w:r w:rsidRPr="007866B1">
        <w:t xml:space="preserve">, …………………………, ЕГН ....................., с адрес: гр. ..............., ул. ..........№ ...., ет.........., ап.........., в качеството си на представляващ ……………………, със седалище и адрес на управление в ………………………, ул.……………….№. , </w:t>
      </w:r>
      <w:proofErr w:type="spellStart"/>
      <w:r w:rsidRPr="007866B1">
        <w:t>ет</w:t>
      </w:r>
      <w:proofErr w:type="spellEnd"/>
      <w:r w:rsidRPr="007866B1">
        <w:t>……., регистрирано в Търговския регистър към Агенция по вписванията с ЕИК…………….., притежаващ</w:t>
      </w:r>
      <w:r w:rsidR="00F67762" w:rsidRPr="007866B1">
        <w:t>/а</w:t>
      </w:r>
      <w:r w:rsidR="00544AC6" w:rsidRPr="007866B1">
        <w:t>/о</w:t>
      </w:r>
      <w:r w:rsidRPr="007866B1">
        <w:t xml:space="preserve">   ....................... /......................./ броя поименни, безналични акции с право на глас от капитала на „Телелинк Бизнес Сървисис Груп“ АД, на основание чл. 116, ал. 1 от Закона за публично предлагане на ценни книжа, </w:t>
      </w:r>
    </w:p>
    <w:p w14:paraId="4905A8D0" w14:textId="77777777" w:rsidR="00544AC6" w:rsidRPr="007866B1" w:rsidRDefault="00544AC6" w:rsidP="007866B1">
      <w:pPr>
        <w:pStyle w:val="NoSpacing"/>
      </w:pPr>
    </w:p>
    <w:p w14:paraId="41AF4E82" w14:textId="0ECF45FC" w:rsidR="00CE611C" w:rsidRDefault="00961C97" w:rsidP="007866B1">
      <w:pPr>
        <w:pStyle w:val="NoSpacing"/>
        <w:jc w:val="center"/>
      </w:pPr>
      <w:r w:rsidRPr="007866B1">
        <w:rPr>
          <w:b/>
        </w:rPr>
        <w:t>УПЪЛНОМОЩАВАМ</w:t>
      </w:r>
      <w:r w:rsidR="003B5E88" w:rsidRPr="007866B1">
        <w:rPr>
          <w:b/>
        </w:rPr>
        <w:t>:</w:t>
      </w:r>
    </w:p>
    <w:p w14:paraId="6335B9F0" w14:textId="77777777" w:rsidR="007866B1" w:rsidRPr="007866B1" w:rsidRDefault="007866B1" w:rsidP="007866B1">
      <w:pPr>
        <w:pStyle w:val="NoSpacing"/>
      </w:pPr>
    </w:p>
    <w:p w14:paraId="7D63B241" w14:textId="5F96FF9C" w:rsidR="00CE611C" w:rsidRPr="007866B1" w:rsidRDefault="00961C97" w:rsidP="007866B1">
      <w:pPr>
        <w:pStyle w:val="NoSpacing"/>
        <w:rPr>
          <w:b/>
          <w:bCs/>
        </w:rPr>
      </w:pPr>
      <w:r w:rsidRPr="007866B1">
        <w:rPr>
          <w:b/>
          <w:bCs/>
        </w:rPr>
        <w:t xml:space="preserve">В случай на пълномощник физическо лице </w:t>
      </w:r>
    </w:p>
    <w:p w14:paraId="74BA706E" w14:textId="1564D8BB" w:rsidR="00CE611C" w:rsidRPr="007866B1" w:rsidRDefault="00961C97" w:rsidP="007866B1">
      <w:pPr>
        <w:pStyle w:val="NoSpacing"/>
      </w:pPr>
      <w:r w:rsidRPr="007866B1">
        <w:rPr>
          <w:b/>
          <w:bCs/>
        </w:rPr>
        <w:t>………………………</w:t>
      </w:r>
      <w:r w:rsidRPr="007866B1">
        <w:t xml:space="preserve">, ЕГН ………………………, </w:t>
      </w:r>
      <w:proofErr w:type="spellStart"/>
      <w:r w:rsidRPr="007866B1">
        <w:t>л.к</w:t>
      </w:r>
      <w:proofErr w:type="spellEnd"/>
      <w:r w:rsidRPr="007866B1">
        <w:t xml:space="preserve">. № ……………., издадена от МВР ………… на </w:t>
      </w:r>
    </w:p>
    <w:p w14:paraId="2F781FE0" w14:textId="40BC8806" w:rsidR="00CE611C" w:rsidRDefault="00961C97" w:rsidP="007866B1">
      <w:pPr>
        <w:pStyle w:val="NoSpacing"/>
      </w:pPr>
      <w:r w:rsidRPr="007866B1">
        <w:t xml:space="preserve">.......................г., с адрес:…………….., </w:t>
      </w:r>
      <w:proofErr w:type="spellStart"/>
      <w:r w:rsidRPr="007866B1">
        <w:t>ул</w:t>
      </w:r>
      <w:proofErr w:type="spellEnd"/>
      <w:r w:rsidRPr="007866B1">
        <w:t xml:space="preserve">…………………, №….., ет. ………, </w:t>
      </w:r>
      <w:proofErr w:type="spellStart"/>
      <w:r w:rsidRPr="007866B1">
        <w:t>ап</w:t>
      </w:r>
      <w:proofErr w:type="spellEnd"/>
      <w:r w:rsidRPr="007866B1">
        <w:t xml:space="preserve">…………, или </w:t>
      </w:r>
    </w:p>
    <w:p w14:paraId="1BBB1FDB" w14:textId="77777777" w:rsidR="007866B1" w:rsidRPr="007866B1" w:rsidRDefault="007866B1" w:rsidP="007866B1">
      <w:pPr>
        <w:pStyle w:val="NoSpacing"/>
      </w:pPr>
    </w:p>
    <w:p w14:paraId="2E6BAE37" w14:textId="77777777" w:rsidR="00CE611C" w:rsidRPr="007866B1" w:rsidRDefault="00961C97" w:rsidP="007866B1">
      <w:pPr>
        <w:pStyle w:val="NoSpacing"/>
        <w:rPr>
          <w:b/>
          <w:bCs/>
        </w:rPr>
      </w:pPr>
      <w:r w:rsidRPr="007866B1">
        <w:rPr>
          <w:b/>
          <w:bCs/>
        </w:rPr>
        <w:t xml:space="preserve">В случай на пълномощник юридическо лице </w:t>
      </w:r>
    </w:p>
    <w:p w14:paraId="740745A6" w14:textId="74C1C795" w:rsidR="00CE611C" w:rsidRDefault="00961C97" w:rsidP="007866B1">
      <w:pPr>
        <w:pStyle w:val="NoSpacing"/>
      </w:pPr>
      <w:r w:rsidRPr="007866B1">
        <w:rPr>
          <w:b/>
          <w:bCs/>
        </w:rPr>
        <w:t>……………………</w:t>
      </w:r>
      <w:r w:rsidRPr="007866B1">
        <w:t>, със седалище и адрес на управление</w:t>
      </w:r>
      <w:r w:rsidR="00544AC6" w:rsidRPr="007866B1">
        <w:t>:</w:t>
      </w:r>
      <w:r w:rsidRPr="007866B1">
        <w:t xml:space="preserve"> ………………………, </w:t>
      </w:r>
      <w:proofErr w:type="spellStart"/>
      <w:r w:rsidRPr="007866B1">
        <w:t>ул</w:t>
      </w:r>
      <w:proofErr w:type="spellEnd"/>
      <w:r w:rsidRPr="007866B1">
        <w:t>……………….</w:t>
      </w:r>
      <w:r w:rsidR="00544AC6" w:rsidRPr="007866B1">
        <w:t xml:space="preserve"> </w:t>
      </w:r>
      <w:r w:rsidRPr="007866B1">
        <w:t>№</w:t>
      </w:r>
      <w:r w:rsidR="00544AC6" w:rsidRPr="007866B1">
        <w:t>…</w:t>
      </w:r>
      <w:r w:rsidRPr="007866B1">
        <w:t xml:space="preserve">., </w:t>
      </w:r>
      <w:proofErr w:type="spellStart"/>
      <w:r w:rsidRPr="007866B1">
        <w:t>ет</w:t>
      </w:r>
      <w:proofErr w:type="spellEnd"/>
      <w:r w:rsidRPr="007866B1">
        <w:t>……., ЕИК …………….., представлявано от …………………………, ЕГН .....................,</w:t>
      </w:r>
      <w:r w:rsidR="002700BF" w:rsidRPr="007866B1">
        <w:t xml:space="preserve"> </w:t>
      </w:r>
      <w:proofErr w:type="spellStart"/>
      <w:r w:rsidR="002700BF" w:rsidRPr="007866B1">
        <w:t>л.к</w:t>
      </w:r>
      <w:proofErr w:type="spellEnd"/>
      <w:r w:rsidR="002700BF" w:rsidRPr="007866B1">
        <w:t xml:space="preserve">. № ……………., издадена от МВР ………… на .......................г., </w:t>
      </w:r>
      <w:r w:rsidRPr="007866B1">
        <w:t xml:space="preserve"> в качеството му на .....................................  </w:t>
      </w:r>
    </w:p>
    <w:p w14:paraId="491293B8" w14:textId="77777777" w:rsidR="007866B1" w:rsidRPr="007866B1" w:rsidRDefault="007866B1" w:rsidP="007866B1">
      <w:pPr>
        <w:pStyle w:val="NoSpacing"/>
      </w:pPr>
    </w:p>
    <w:p w14:paraId="5607F10E" w14:textId="68B9C598" w:rsidR="00CE611C" w:rsidRDefault="00961C97" w:rsidP="007866B1">
      <w:pPr>
        <w:pStyle w:val="NoSpacing"/>
      </w:pPr>
      <w:r w:rsidRPr="007866B1">
        <w:t>да ме представлява/да представлява управляваното от мен дружество на</w:t>
      </w:r>
      <w:r w:rsidR="00281749" w:rsidRPr="007866B1">
        <w:t xml:space="preserve"> </w:t>
      </w:r>
      <w:r w:rsidR="00997173" w:rsidRPr="007866B1">
        <w:t xml:space="preserve">извънредното общо събрание на акционерите на „Телелинк Бизнес Сървисис Груп“ АД, гр. София на 14.09.2021 г. в 10:00 часа, (Източноевропейско стандартно време EET=UTC+3. (координирано универсално време UTC)) в седалището на дружеството в гр. София и място на провеждане: гр. София, район „Витоша“, </w:t>
      </w:r>
      <w:proofErr w:type="spellStart"/>
      <w:r w:rsidR="00997173" w:rsidRPr="007866B1">
        <w:t>в.з</w:t>
      </w:r>
      <w:proofErr w:type="spellEnd"/>
      <w:r w:rsidR="00997173" w:rsidRPr="007866B1">
        <w:t xml:space="preserve">. „Малинова долина“, ул. „Панорама София” № 6, Бизнес център </w:t>
      </w:r>
      <w:proofErr w:type="spellStart"/>
      <w:r w:rsidR="00997173" w:rsidRPr="007866B1">
        <w:t>Ричхил</w:t>
      </w:r>
      <w:proofErr w:type="spellEnd"/>
      <w:r w:rsidR="00997173" w:rsidRPr="007866B1">
        <w:t xml:space="preserve">, партер, Конферентен център </w:t>
      </w:r>
      <w:proofErr w:type="spellStart"/>
      <w:r w:rsidR="00997173" w:rsidRPr="007866B1">
        <w:t>Ричхил</w:t>
      </w:r>
      <w:proofErr w:type="spellEnd"/>
      <w:r w:rsidR="00997173" w:rsidRPr="007866B1">
        <w:t xml:space="preserve">, а при липса на кворум - на 30.09.2021 в 10:00 часа (Източноевропейско стандартно време EET=UTC+3 (координирано универсално време UTC)) </w:t>
      </w:r>
      <w:r w:rsidRPr="007866B1">
        <w:t xml:space="preserve">на същото място и при същия дневен ред и да гласува с всички притежавани от </w:t>
      </w:r>
      <w:r w:rsidR="00544AC6" w:rsidRPr="007866B1">
        <w:t>мен/ представляваното</w:t>
      </w:r>
      <w:r w:rsidR="009250B6" w:rsidRPr="007866B1">
        <w:t xml:space="preserve"> от мен</w:t>
      </w:r>
      <w:r w:rsidR="00544AC6" w:rsidRPr="007866B1">
        <w:t xml:space="preserve"> дружество </w:t>
      </w:r>
      <w:r w:rsidRPr="007866B1">
        <w:t xml:space="preserve">........................... акции по въпросите от дневния ред съгласно указания по-долу начин, а именно: </w:t>
      </w:r>
    </w:p>
    <w:p w14:paraId="39DE4A8F" w14:textId="77777777" w:rsidR="007866B1" w:rsidRPr="007866B1" w:rsidRDefault="007866B1" w:rsidP="007866B1">
      <w:pPr>
        <w:pStyle w:val="NoSpacing"/>
      </w:pPr>
    </w:p>
    <w:p w14:paraId="21170E2F" w14:textId="77777777" w:rsidR="00F67762" w:rsidRPr="007866B1" w:rsidRDefault="00F67762" w:rsidP="007866B1">
      <w:pPr>
        <w:pStyle w:val="NoSpacing"/>
        <w:rPr>
          <w:b/>
        </w:rPr>
      </w:pPr>
      <w:r w:rsidRPr="007866B1">
        <w:rPr>
          <w:b/>
        </w:rPr>
        <w:t xml:space="preserve">I. Процедурни въпроси: </w:t>
      </w:r>
    </w:p>
    <w:p w14:paraId="545AA12F" w14:textId="05585F5E" w:rsidR="00997173" w:rsidRPr="007866B1" w:rsidRDefault="00997173" w:rsidP="007866B1">
      <w:pPr>
        <w:pStyle w:val="NoSpacing"/>
        <w:rPr>
          <w:b/>
        </w:rPr>
      </w:pPr>
      <w:r w:rsidRPr="007866B1">
        <w:rPr>
          <w:b/>
        </w:rPr>
        <w:t>1.</w:t>
      </w:r>
      <w:r w:rsidRPr="007866B1">
        <w:rPr>
          <w:b/>
        </w:rPr>
        <w:t xml:space="preserve"> </w:t>
      </w:r>
      <w:r w:rsidRPr="007866B1">
        <w:rPr>
          <w:b/>
        </w:rPr>
        <w:t>Избор на председател, секретар и преброители за провеждане на Общото събрание</w:t>
      </w:r>
    </w:p>
    <w:p w14:paraId="3D5B5D65" w14:textId="77777777" w:rsidR="00997173" w:rsidRPr="007866B1" w:rsidRDefault="00997173" w:rsidP="007866B1">
      <w:pPr>
        <w:pStyle w:val="NoSpacing"/>
        <w:rPr>
          <w:bCs/>
        </w:rPr>
      </w:pPr>
      <w:r w:rsidRPr="007866B1">
        <w:rPr>
          <w:bCs/>
          <w:u w:val="single"/>
        </w:rPr>
        <w:t>Предложение за решение:</w:t>
      </w:r>
      <w:r w:rsidRPr="007866B1">
        <w:rPr>
          <w:b/>
        </w:rPr>
        <w:t xml:space="preserve"> </w:t>
      </w:r>
      <w:r w:rsidRPr="007866B1">
        <w:rPr>
          <w:bCs/>
        </w:rPr>
        <w:t xml:space="preserve">Общото събрание на акционерите избира за председател на заседанието г-н Иван </w:t>
      </w:r>
      <w:proofErr w:type="spellStart"/>
      <w:r w:rsidRPr="007866B1">
        <w:rPr>
          <w:bCs/>
        </w:rPr>
        <w:t>Житиянов</w:t>
      </w:r>
      <w:proofErr w:type="spellEnd"/>
      <w:r w:rsidRPr="007866B1">
        <w:rPr>
          <w:bCs/>
        </w:rPr>
        <w:t xml:space="preserve"> (а в негово отсъствие г-ца Николета </w:t>
      </w:r>
      <w:proofErr w:type="spellStart"/>
      <w:r w:rsidRPr="007866B1">
        <w:rPr>
          <w:bCs/>
        </w:rPr>
        <w:t>Станаилова</w:t>
      </w:r>
      <w:proofErr w:type="spellEnd"/>
      <w:r w:rsidRPr="007866B1">
        <w:rPr>
          <w:bCs/>
        </w:rPr>
        <w:t xml:space="preserve">), за секретар г-н Иван Даскалов (а в негово отсъствие г-жа Даниела Пеева) и за преброител на гласовете – г-ца Николета </w:t>
      </w:r>
      <w:proofErr w:type="spellStart"/>
      <w:r w:rsidRPr="007866B1">
        <w:rPr>
          <w:bCs/>
        </w:rPr>
        <w:t>Станаилова</w:t>
      </w:r>
      <w:proofErr w:type="spellEnd"/>
      <w:r w:rsidRPr="007866B1">
        <w:rPr>
          <w:bCs/>
        </w:rPr>
        <w:t xml:space="preserve"> (а в нейно отсъствие г-жа Силвия Маринова)</w:t>
      </w:r>
    </w:p>
    <w:p w14:paraId="50612FE6" w14:textId="77777777" w:rsidR="007866B1" w:rsidRDefault="007866B1" w:rsidP="007866B1">
      <w:pPr>
        <w:pStyle w:val="NoSpacing"/>
        <w:rPr>
          <w:b/>
        </w:rPr>
      </w:pPr>
    </w:p>
    <w:p w14:paraId="0BC30BD3" w14:textId="1FDF30D5" w:rsidR="00CE611C" w:rsidRPr="007866B1" w:rsidRDefault="00961C97" w:rsidP="007866B1">
      <w:pPr>
        <w:pStyle w:val="NoSpacing"/>
        <w:rPr>
          <w:b/>
        </w:rPr>
      </w:pPr>
      <w:r w:rsidRPr="007866B1">
        <w:rPr>
          <w:b/>
        </w:rPr>
        <w:t xml:space="preserve">Начин на гласуване:  </w:t>
      </w:r>
    </w:p>
    <w:p w14:paraId="6DB24F9A" w14:textId="77777777" w:rsidR="007866B1" w:rsidRDefault="007866B1" w:rsidP="007866B1">
      <w:pPr>
        <w:pStyle w:val="NoSpacing"/>
      </w:pPr>
    </w:p>
    <w:p w14:paraId="54A6E9EC" w14:textId="3B776033" w:rsidR="009250B6" w:rsidRPr="007866B1" w:rsidRDefault="00961C97" w:rsidP="007866B1">
      <w:pPr>
        <w:pStyle w:val="NoSpacing"/>
      </w:pPr>
      <w:r w:rsidRPr="007866B1">
        <w:t xml:space="preserve">……………………………… </w:t>
      </w:r>
    </w:p>
    <w:p w14:paraId="6CB69FE5" w14:textId="6AF872F2" w:rsidR="00281749" w:rsidRPr="007866B1" w:rsidRDefault="00961C97" w:rsidP="007866B1">
      <w:pPr>
        <w:pStyle w:val="NoSpacing"/>
      </w:pPr>
      <w:r w:rsidRPr="007866B1">
        <w:t>(„За”, „Против”, „Въздържал се”)</w:t>
      </w:r>
    </w:p>
    <w:p w14:paraId="087E8E4C" w14:textId="77777777" w:rsidR="007866B1" w:rsidRDefault="007866B1" w:rsidP="007866B1">
      <w:pPr>
        <w:pStyle w:val="NoSpacing"/>
        <w:rPr>
          <w:b/>
        </w:rPr>
      </w:pPr>
    </w:p>
    <w:p w14:paraId="7A664DFA" w14:textId="6CA4C74C" w:rsidR="00F67762" w:rsidRPr="007866B1" w:rsidRDefault="00F67762" w:rsidP="007866B1">
      <w:pPr>
        <w:pStyle w:val="NoSpacing"/>
        <w:rPr>
          <w:b/>
        </w:rPr>
      </w:pPr>
      <w:r w:rsidRPr="007866B1">
        <w:rPr>
          <w:b/>
        </w:rPr>
        <w:t xml:space="preserve">II. Въпроси по същество: </w:t>
      </w:r>
    </w:p>
    <w:p w14:paraId="3602A2C5" w14:textId="523FB190" w:rsidR="00997173" w:rsidRPr="007866B1" w:rsidRDefault="00F67762" w:rsidP="007866B1">
      <w:pPr>
        <w:pStyle w:val="NoSpacing"/>
        <w:rPr>
          <w:b/>
        </w:rPr>
      </w:pPr>
      <w:r w:rsidRPr="007866B1">
        <w:rPr>
          <w:b/>
        </w:rPr>
        <w:lastRenderedPageBreak/>
        <w:t xml:space="preserve">1. </w:t>
      </w:r>
      <w:bookmarkStart w:id="0" w:name="_Hlk71873257"/>
      <w:r w:rsidR="00997173" w:rsidRPr="007866B1">
        <w:rPr>
          <w:b/>
        </w:rPr>
        <w:t>Приемане на 6-месечен финансов отчет за първото полугодие на 2021 г.</w:t>
      </w:r>
    </w:p>
    <w:p w14:paraId="3CB722E9" w14:textId="77777777" w:rsidR="00997173" w:rsidRPr="007866B1" w:rsidRDefault="00997173" w:rsidP="007866B1">
      <w:pPr>
        <w:pStyle w:val="NoSpacing"/>
        <w:rPr>
          <w:bCs/>
        </w:rPr>
      </w:pPr>
      <w:r w:rsidRPr="007866B1">
        <w:rPr>
          <w:bCs/>
          <w:u w:val="single"/>
        </w:rPr>
        <w:t>Предложение за решение:</w:t>
      </w:r>
      <w:r w:rsidRPr="007866B1">
        <w:rPr>
          <w:bCs/>
        </w:rPr>
        <w:t xml:space="preserve"> Общото събрание на акционерите приема 6-месечния финансов отчет на Дружеството за първото полугодие на 2021 г.</w:t>
      </w:r>
    </w:p>
    <w:p w14:paraId="4178DB99" w14:textId="77777777" w:rsidR="007866B1" w:rsidRDefault="007866B1" w:rsidP="007866B1">
      <w:pPr>
        <w:pStyle w:val="NoSpacing"/>
        <w:rPr>
          <w:b/>
          <w:bCs/>
        </w:rPr>
      </w:pPr>
    </w:p>
    <w:p w14:paraId="4F9A2DC1" w14:textId="585EA1FA" w:rsidR="00F67762" w:rsidRPr="007866B1" w:rsidRDefault="00961C97" w:rsidP="007866B1">
      <w:pPr>
        <w:pStyle w:val="NoSpacing"/>
        <w:rPr>
          <w:b/>
          <w:bCs/>
        </w:rPr>
      </w:pPr>
      <w:r w:rsidRPr="007866B1">
        <w:rPr>
          <w:b/>
          <w:bCs/>
        </w:rPr>
        <w:t>Начин на гласуване:</w:t>
      </w:r>
    </w:p>
    <w:p w14:paraId="4AC3BB3A" w14:textId="77777777" w:rsidR="007866B1" w:rsidRDefault="007866B1" w:rsidP="007866B1">
      <w:pPr>
        <w:pStyle w:val="NoSpacing"/>
      </w:pPr>
    </w:p>
    <w:p w14:paraId="1CB36BF9" w14:textId="548D4603" w:rsidR="00CE611C" w:rsidRPr="007866B1" w:rsidRDefault="00961C97" w:rsidP="007866B1">
      <w:pPr>
        <w:pStyle w:val="NoSpacing"/>
      </w:pPr>
      <w:r w:rsidRPr="007866B1">
        <w:t xml:space="preserve">……………………………… </w:t>
      </w:r>
    </w:p>
    <w:p w14:paraId="18D74223" w14:textId="7CC6142C" w:rsidR="00CE611C" w:rsidRDefault="00961C97" w:rsidP="007866B1">
      <w:pPr>
        <w:pStyle w:val="NoSpacing"/>
      </w:pPr>
      <w:r w:rsidRPr="007866B1">
        <w:t xml:space="preserve">(„За”, „Против”, „Въздържал се”) </w:t>
      </w:r>
      <w:bookmarkEnd w:id="0"/>
    </w:p>
    <w:p w14:paraId="5600C615" w14:textId="77777777" w:rsidR="007866B1" w:rsidRPr="007866B1" w:rsidRDefault="007866B1" w:rsidP="007866B1">
      <w:pPr>
        <w:pStyle w:val="NoSpacing"/>
      </w:pPr>
    </w:p>
    <w:p w14:paraId="1241669F" w14:textId="04185ABF" w:rsidR="00997173" w:rsidRPr="007866B1" w:rsidRDefault="00F67762" w:rsidP="007866B1">
      <w:pPr>
        <w:pStyle w:val="NoSpacing"/>
        <w:rPr>
          <w:b/>
          <w:bCs/>
        </w:rPr>
      </w:pPr>
      <w:r w:rsidRPr="007866B1">
        <w:rPr>
          <w:b/>
          <w:bCs/>
        </w:rPr>
        <w:t>2.</w:t>
      </w:r>
      <w:bookmarkStart w:id="1" w:name="_Hlk71873293"/>
      <w:r w:rsidR="00997173" w:rsidRPr="007866B1">
        <w:rPr>
          <w:b/>
          <w:bCs/>
        </w:rPr>
        <w:t xml:space="preserve"> </w:t>
      </w:r>
      <w:r w:rsidR="00997173" w:rsidRPr="007866B1">
        <w:rPr>
          <w:b/>
          <w:bCs/>
        </w:rPr>
        <w:t xml:space="preserve">Взимане на решение по чл. 41 ал. 2 от Устава на Дружеството за разпределяне на печалбата и изплащане на 6-месечен дивидент </w:t>
      </w:r>
    </w:p>
    <w:p w14:paraId="72DC24BB" w14:textId="77777777" w:rsidR="00997173" w:rsidRPr="007866B1" w:rsidRDefault="00997173" w:rsidP="007866B1">
      <w:pPr>
        <w:pStyle w:val="NoSpacing"/>
      </w:pPr>
      <w:r w:rsidRPr="007866B1">
        <w:rPr>
          <w:u w:val="single"/>
        </w:rPr>
        <w:t>Предложение за решение:</w:t>
      </w:r>
      <w:r w:rsidRPr="007866B1">
        <w:t xml:space="preserve"> Общото събрание на акционерите приема решение за разпределяне на 6-месечен дивидент в размер на 10 250 000 (десет милиона двеста и петдесет хиляди) лева общо или 0.82 лева (осемдесет и две стотинки) на акция от печалбата, реализирана от Дружеството, като 677 786,42 лева са от печалбата на Дружеството за 2020 г. и 9 572 213,58 лева от печалбата на Дружеството, реализирана съгласно изготвения 6-месечен финансов отчет за първото полугодие на 2021 г. и въз основа на изготвения от Управителния съвет Доклад относно спазване на изискванията по чл. 115в ЗППЦК. Право да получат шестмесечен дивидент имат лицата, вписани в регистрите на Централния депозитар като такива с право на дивидент към 14-тия ден след датата на общото събрание. Общото събрание на акционерите овластява Управителния съвет на Дружеството да предприеме всички необходими правни и фактически действия относно изплащането на шестмесечния дивидент на акционерите, включително избор на търговска банка, начален и краен срок за изплащане на  шестмесечния дивидент</w:t>
      </w:r>
    </w:p>
    <w:p w14:paraId="23BCD8D1" w14:textId="77777777" w:rsidR="007866B1" w:rsidRDefault="007866B1" w:rsidP="007866B1">
      <w:pPr>
        <w:pStyle w:val="NoSpacing"/>
        <w:rPr>
          <w:b/>
          <w:bCs/>
        </w:rPr>
      </w:pPr>
    </w:p>
    <w:p w14:paraId="4EE5F200" w14:textId="76BBF542" w:rsidR="00F67762" w:rsidRPr="007866B1" w:rsidRDefault="00F67762" w:rsidP="007866B1">
      <w:pPr>
        <w:pStyle w:val="NoSpacing"/>
        <w:rPr>
          <w:b/>
          <w:bCs/>
        </w:rPr>
      </w:pPr>
      <w:r w:rsidRPr="007866B1">
        <w:rPr>
          <w:b/>
          <w:bCs/>
        </w:rPr>
        <w:t>Начин на гласуване:</w:t>
      </w:r>
    </w:p>
    <w:p w14:paraId="2A4CF3C6" w14:textId="77777777" w:rsidR="007866B1" w:rsidRDefault="007866B1" w:rsidP="007866B1">
      <w:pPr>
        <w:pStyle w:val="NoSpacing"/>
      </w:pPr>
    </w:p>
    <w:p w14:paraId="6681C09D" w14:textId="1ED69CE0" w:rsidR="00F67762" w:rsidRPr="007866B1" w:rsidRDefault="00F67762" w:rsidP="007866B1">
      <w:pPr>
        <w:pStyle w:val="NoSpacing"/>
      </w:pPr>
      <w:r w:rsidRPr="007866B1">
        <w:t xml:space="preserve">……………………………… </w:t>
      </w:r>
    </w:p>
    <w:p w14:paraId="6FA828A6" w14:textId="7D2DE879" w:rsidR="00F67762" w:rsidRPr="007866B1" w:rsidRDefault="00F67762" w:rsidP="007866B1">
      <w:pPr>
        <w:pStyle w:val="NoSpacing"/>
      </w:pPr>
      <w:r w:rsidRPr="007866B1">
        <w:t xml:space="preserve">(„За”, „Против”, „Въздържал се”) </w:t>
      </w:r>
      <w:bookmarkEnd w:id="1"/>
    </w:p>
    <w:p w14:paraId="5B70A53E" w14:textId="77777777" w:rsidR="007866B1" w:rsidRDefault="007866B1" w:rsidP="007866B1">
      <w:pPr>
        <w:pStyle w:val="NoSpacing"/>
        <w:rPr>
          <w:b/>
          <w:bCs/>
        </w:rPr>
      </w:pPr>
    </w:p>
    <w:p w14:paraId="4A25630E" w14:textId="653C7566" w:rsidR="00B7188E" w:rsidRPr="007866B1" w:rsidRDefault="00F67762" w:rsidP="007866B1">
      <w:pPr>
        <w:pStyle w:val="NoSpacing"/>
        <w:rPr>
          <w:b/>
          <w:bCs/>
        </w:rPr>
      </w:pPr>
      <w:r w:rsidRPr="007866B1">
        <w:rPr>
          <w:b/>
          <w:bCs/>
        </w:rPr>
        <w:t xml:space="preserve">3. </w:t>
      </w:r>
      <w:bookmarkStart w:id="2" w:name="_Hlk71873407"/>
      <w:r w:rsidR="00B7188E" w:rsidRPr="007866B1">
        <w:rPr>
          <w:b/>
          <w:bCs/>
        </w:rPr>
        <w:t>Избор на регистриран одитор за извършване на независим финансов одит за 2021 г.</w:t>
      </w:r>
    </w:p>
    <w:p w14:paraId="4AADE0BD" w14:textId="77777777" w:rsidR="00B7188E" w:rsidRPr="007866B1" w:rsidRDefault="00B7188E" w:rsidP="007866B1">
      <w:pPr>
        <w:pStyle w:val="NoSpacing"/>
      </w:pPr>
      <w:r w:rsidRPr="007866B1">
        <w:rPr>
          <w:u w:val="single"/>
        </w:rPr>
        <w:t>Предложение за решение:</w:t>
      </w:r>
      <w:r w:rsidRPr="007866B1">
        <w:t xml:space="preserve"> Общото събрание на акционерите избира "ЪРНСТ И ЯНГ ОДИТ" ООД за одитор за извършване на независим финансов одит на годишния финансов отчет на Дружеството за 2021 г. и на консолидирания годишен финансов отчет на Дружеството за 2021 г.</w:t>
      </w:r>
    </w:p>
    <w:p w14:paraId="4C13BEB5" w14:textId="77777777" w:rsidR="007866B1" w:rsidRDefault="007866B1" w:rsidP="007866B1">
      <w:pPr>
        <w:pStyle w:val="NoSpacing"/>
        <w:rPr>
          <w:b/>
          <w:bCs/>
        </w:rPr>
      </w:pPr>
    </w:p>
    <w:p w14:paraId="229CA545" w14:textId="0B80178A" w:rsidR="00F67762" w:rsidRPr="007866B1" w:rsidRDefault="00F67762" w:rsidP="007866B1">
      <w:pPr>
        <w:pStyle w:val="NoSpacing"/>
        <w:rPr>
          <w:b/>
          <w:bCs/>
        </w:rPr>
      </w:pPr>
      <w:r w:rsidRPr="007866B1">
        <w:rPr>
          <w:b/>
          <w:bCs/>
        </w:rPr>
        <w:t>Начин на гласуване:</w:t>
      </w:r>
    </w:p>
    <w:p w14:paraId="77AA644B" w14:textId="77777777" w:rsidR="007866B1" w:rsidRDefault="007866B1" w:rsidP="007866B1">
      <w:pPr>
        <w:pStyle w:val="NoSpacing"/>
      </w:pPr>
    </w:p>
    <w:p w14:paraId="6E7D1EAE" w14:textId="2C87FAB9" w:rsidR="00F67762" w:rsidRPr="007866B1" w:rsidRDefault="00F67762" w:rsidP="007866B1">
      <w:pPr>
        <w:pStyle w:val="NoSpacing"/>
      </w:pPr>
      <w:r w:rsidRPr="007866B1">
        <w:t xml:space="preserve">……………………………… </w:t>
      </w:r>
    </w:p>
    <w:p w14:paraId="510EF883" w14:textId="66179BC7" w:rsidR="00F67762" w:rsidRPr="007866B1" w:rsidRDefault="00F67762" w:rsidP="007866B1">
      <w:pPr>
        <w:pStyle w:val="NoSpacing"/>
      </w:pPr>
      <w:r w:rsidRPr="007866B1">
        <w:t xml:space="preserve">(„За”, „Против”, „Въздържал се”) </w:t>
      </w:r>
    </w:p>
    <w:bookmarkEnd w:id="2"/>
    <w:p w14:paraId="0C765D7B" w14:textId="77777777" w:rsidR="007866B1" w:rsidRDefault="007866B1" w:rsidP="007866B1">
      <w:pPr>
        <w:pStyle w:val="NoSpacing"/>
        <w:rPr>
          <w:b/>
          <w:bCs/>
        </w:rPr>
      </w:pPr>
    </w:p>
    <w:p w14:paraId="4FC91578" w14:textId="32C00B18" w:rsidR="00D674AD" w:rsidRPr="007866B1" w:rsidRDefault="00F67762" w:rsidP="007866B1">
      <w:pPr>
        <w:pStyle w:val="NoSpacing"/>
        <w:rPr>
          <w:b/>
          <w:bCs/>
        </w:rPr>
      </w:pPr>
      <w:r w:rsidRPr="007866B1">
        <w:rPr>
          <w:b/>
          <w:bCs/>
        </w:rPr>
        <w:t xml:space="preserve">4. </w:t>
      </w:r>
      <w:bookmarkStart w:id="3" w:name="_Hlk71873486"/>
      <w:r w:rsidR="00D674AD" w:rsidRPr="007866B1">
        <w:rPr>
          <w:b/>
          <w:bCs/>
        </w:rPr>
        <w:t xml:space="preserve">Овластяване на Управителния съвет на Дружеството за сключване на сделки от приложното поле на чл. 114, ал. 1, т. 2 ЗППЦК </w:t>
      </w:r>
    </w:p>
    <w:p w14:paraId="03166F2F" w14:textId="77777777" w:rsidR="00D674AD" w:rsidRPr="007866B1" w:rsidRDefault="00D674AD" w:rsidP="007866B1">
      <w:pPr>
        <w:pStyle w:val="NoSpacing"/>
      </w:pPr>
      <w:r w:rsidRPr="007866B1">
        <w:rPr>
          <w:u w:val="single"/>
        </w:rPr>
        <w:t>Предложение за решение:</w:t>
      </w:r>
      <w:r w:rsidRPr="007866B1">
        <w:t xml:space="preserve"> Общото събрание на акционерите овластява Управителния съвет на Дружеството да сключи сделки от приложното поле на чл. 114, ал. 1, т. 2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 сключване на договор за паричен заем между Дружеството и „Телелинк Бизнес Сървисис“ ЕАД</w:t>
      </w:r>
    </w:p>
    <w:p w14:paraId="23A46E75" w14:textId="77777777" w:rsidR="007866B1" w:rsidRDefault="007866B1" w:rsidP="007866B1">
      <w:pPr>
        <w:pStyle w:val="NoSpacing"/>
        <w:rPr>
          <w:b/>
          <w:bCs/>
        </w:rPr>
      </w:pPr>
    </w:p>
    <w:p w14:paraId="5AAB801A" w14:textId="33ECEF48" w:rsidR="007C2F2C" w:rsidRPr="007866B1" w:rsidRDefault="007C2F2C" w:rsidP="007866B1">
      <w:pPr>
        <w:pStyle w:val="NoSpacing"/>
        <w:rPr>
          <w:b/>
          <w:bCs/>
        </w:rPr>
      </w:pPr>
      <w:r w:rsidRPr="007866B1">
        <w:rPr>
          <w:b/>
          <w:bCs/>
        </w:rPr>
        <w:t>Начин на гласуване:</w:t>
      </w:r>
    </w:p>
    <w:p w14:paraId="005E4AC1" w14:textId="762E350C" w:rsidR="007C2F2C" w:rsidRPr="007866B1" w:rsidRDefault="007C2F2C" w:rsidP="007866B1">
      <w:pPr>
        <w:pStyle w:val="NoSpacing"/>
      </w:pPr>
      <w:r w:rsidRPr="007866B1">
        <w:lastRenderedPageBreak/>
        <w:t xml:space="preserve">……………………………… </w:t>
      </w:r>
    </w:p>
    <w:p w14:paraId="3C667168" w14:textId="21FC4AE0" w:rsidR="007C2F2C" w:rsidRPr="007866B1" w:rsidRDefault="007C2F2C" w:rsidP="007866B1">
      <w:pPr>
        <w:pStyle w:val="NoSpacing"/>
      </w:pPr>
      <w:r w:rsidRPr="007866B1">
        <w:t xml:space="preserve">(„За”, „Против”, „Въздържал се”) </w:t>
      </w:r>
    </w:p>
    <w:bookmarkEnd w:id="3"/>
    <w:p w14:paraId="024D798B" w14:textId="77777777" w:rsidR="007866B1" w:rsidRDefault="007866B1" w:rsidP="007866B1">
      <w:pPr>
        <w:pStyle w:val="NoSpacing"/>
        <w:rPr>
          <w:b/>
          <w:bCs/>
        </w:rPr>
      </w:pPr>
    </w:p>
    <w:p w14:paraId="339E6CB2" w14:textId="66D130E4" w:rsidR="00BC5D0C" w:rsidRPr="007866B1" w:rsidRDefault="007C2F2C" w:rsidP="007866B1">
      <w:pPr>
        <w:pStyle w:val="NoSpacing"/>
        <w:rPr>
          <w:b/>
          <w:bCs/>
        </w:rPr>
      </w:pPr>
      <w:r w:rsidRPr="007866B1">
        <w:rPr>
          <w:b/>
          <w:bCs/>
        </w:rPr>
        <w:t xml:space="preserve">5. </w:t>
      </w:r>
      <w:bookmarkStart w:id="4" w:name="_Hlk71873530"/>
      <w:r w:rsidR="00BC5D0C" w:rsidRPr="007866B1">
        <w:rPr>
          <w:b/>
          <w:bCs/>
        </w:rPr>
        <w:t>Изменения и допълнения на Политиката за възнагражденията на членовете на Надзорния и Управителния съвет на Дружеството</w:t>
      </w:r>
    </w:p>
    <w:p w14:paraId="64934228" w14:textId="77777777" w:rsidR="00BC5D0C" w:rsidRPr="007866B1" w:rsidRDefault="00BC5D0C" w:rsidP="007866B1">
      <w:pPr>
        <w:pStyle w:val="NoSpacing"/>
      </w:pPr>
      <w:r w:rsidRPr="007866B1">
        <w:rPr>
          <w:u w:val="single"/>
        </w:rPr>
        <w:t>Предложение за решение:</w:t>
      </w:r>
      <w:r w:rsidRPr="007866B1">
        <w:t xml:space="preserve"> Общото събрание на акционерите приема промени в Политиката за възнагражденията на членовете на Надзорния и Управителния съвет на Дружеството, като в чл. 18 от Политиката за възнагражденията на членовете на Надзорния и Управителния съвет на Дружеството се правят следните изменения и допълнения: </w:t>
      </w:r>
    </w:p>
    <w:p w14:paraId="005DF597" w14:textId="77777777" w:rsidR="00BC5D0C" w:rsidRPr="007866B1" w:rsidRDefault="00BC5D0C" w:rsidP="007866B1">
      <w:pPr>
        <w:pStyle w:val="NoSpacing"/>
      </w:pPr>
      <w:r w:rsidRPr="007866B1">
        <w:t xml:space="preserve">1. Алинея 2 се изменя така: </w:t>
      </w:r>
    </w:p>
    <w:p w14:paraId="2FA35B67" w14:textId="77777777" w:rsidR="00BC5D0C" w:rsidRPr="007866B1" w:rsidRDefault="00BC5D0C" w:rsidP="007866B1">
      <w:pPr>
        <w:pStyle w:val="NoSpacing"/>
      </w:pPr>
      <w:r w:rsidRPr="007866B1">
        <w:t xml:space="preserve">„(2) Член на Управителния съвет се квалифицира като специален напускащ, ако договорът му се прекратява поради: </w:t>
      </w:r>
    </w:p>
    <w:p w14:paraId="28F64514" w14:textId="77777777" w:rsidR="00BC5D0C" w:rsidRPr="007866B1" w:rsidRDefault="00BC5D0C" w:rsidP="007866B1">
      <w:pPr>
        <w:pStyle w:val="NoSpacing"/>
      </w:pPr>
      <w:r w:rsidRPr="007866B1">
        <w:t xml:space="preserve">a) пенсиониране, </w:t>
      </w:r>
    </w:p>
    <w:p w14:paraId="0AC4DD25" w14:textId="77777777" w:rsidR="00BC5D0C" w:rsidRPr="007866B1" w:rsidRDefault="00BC5D0C" w:rsidP="007866B1">
      <w:pPr>
        <w:pStyle w:val="NoSpacing"/>
      </w:pPr>
      <w:r w:rsidRPr="007866B1">
        <w:t xml:space="preserve">б) обща и трайна нетрудоспособност, </w:t>
      </w:r>
    </w:p>
    <w:p w14:paraId="3D6495DB" w14:textId="77777777" w:rsidR="00BC5D0C" w:rsidRPr="007866B1" w:rsidRDefault="00BC5D0C" w:rsidP="007866B1">
      <w:pPr>
        <w:pStyle w:val="NoSpacing"/>
      </w:pPr>
      <w:r w:rsidRPr="007866B1">
        <w:t>в) прекратяване на Дружеството с или без правоприемство,</w:t>
      </w:r>
    </w:p>
    <w:p w14:paraId="56D5BBFD" w14:textId="77777777" w:rsidR="00BC5D0C" w:rsidRPr="007866B1" w:rsidRDefault="00BC5D0C" w:rsidP="007866B1">
      <w:pPr>
        <w:pStyle w:val="NoSpacing"/>
      </w:pPr>
      <w:r w:rsidRPr="007866B1">
        <w:t>г) промяна в контрола над Дружеството, или</w:t>
      </w:r>
    </w:p>
    <w:p w14:paraId="6099B30C" w14:textId="77777777" w:rsidR="00BC5D0C" w:rsidRPr="007866B1" w:rsidRDefault="00BC5D0C" w:rsidP="007866B1">
      <w:pPr>
        <w:pStyle w:val="NoSpacing"/>
      </w:pPr>
      <w:r w:rsidRPr="007866B1">
        <w:t xml:space="preserve">д) по друга причина по преценка на Надзорния съвет.“ </w:t>
      </w:r>
    </w:p>
    <w:p w14:paraId="0376C0E9" w14:textId="77777777" w:rsidR="00BC5D0C" w:rsidRPr="007866B1" w:rsidRDefault="00BC5D0C" w:rsidP="007866B1">
      <w:pPr>
        <w:pStyle w:val="NoSpacing"/>
      </w:pPr>
      <w:r w:rsidRPr="007866B1">
        <w:t xml:space="preserve">2. Алинея 3 се изменя така: </w:t>
      </w:r>
    </w:p>
    <w:p w14:paraId="7DD34D2F" w14:textId="77777777" w:rsidR="00BC5D0C" w:rsidRPr="007866B1" w:rsidRDefault="00BC5D0C" w:rsidP="007866B1">
      <w:pPr>
        <w:pStyle w:val="NoSpacing"/>
      </w:pPr>
      <w:r w:rsidRPr="007866B1">
        <w:t xml:space="preserve">„(3) За специалните напускащи получаването на неплатено или </w:t>
      </w:r>
      <w:proofErr w:type="spellStart"/>
      <w:r w:rsidRPr="007866B1">
        <w:t>непредоставено</w:t>
      </w:r>
      <w:proofErr w:type="spellEnd"/>
      <w:r w:rsidRPr="007866B1">
        <w:t xml:space="preserve"> променливо възнаграждение ще продължи да се осъществява на предвидената дата(и) на получаване, като променливото възнаграждение се изплаща пропорционално на изминалата към датата на настъпване на съответното събитие по ал.2 част от тригодишния период на проследяване.“</w:t>
      </w:r>
    </w:p>
    <w:p w14:paraId="2E44FA2A" w14:textId="77777777" w:rsidR="00BC5D0C" w:rsidRPr="007866B1" w:rsidRDefault="00BC5D0C" w:rsidP="007866B1">
      <w:pPr>
        <w:pStyle w:val="NoSpacing"/>
      </w:pPr>
      <w:r w:rsidRPr="007866B1">
        <w:t>3. Създава се ал. 4:</w:t>
      </w:r>
    </w:p>
    <w:p w14:paraId="273DDAED" w14:textId="77777777" w:rsidR="00BC5D0C" w:rsidRPr="007866B1" w:rsidRDefault="00BC5D0C" w:rsidP="007866B1">
      <w:pPr>
        <w:pStyle w:val="NoSpacing"/>
      </w:pPr>
      <w:r w:rsidRPr="007866B1">
        <w:t>„(4) Ако през съответния тригодишен период на проследяване настъпи смърт на член на Управителния съвет, променливото възнаграждение се изплаща пропорционално на тригодишния период на проследяване на наследниците му по закон, ако са изявили такова желание; ако смъртта настъпи след изтичане на тригодишния период на проследяване, но преди променливото възнаграждение да бъде прехвърлено на члена, наследниците имат право да го получат в пълен обем. Променливото възнаграждение се изплаща след изтичане на тригодишния период на проследяване.“</w:t>
      </w:r>
    </w:p>
    <w:p w14:paraId="0B047C62" w14:textId="77777777" w:rsidR="00BC5D0C" w:rsidRPr="007866B1" w:rsidRDefault="00BC5D0C" w:rsidP="007866B1">
      <w:pPr>
        <w:pStyle w:val="NoSpacing"/>
      </w:pPr>
      <w:r w:rsidRPr="007866B1">
        <w:t>4. Създава се ал. 5:</w:t>
      </w:r>
    </w:p>
    <w:p w14:paraId="46247D9D" w14:textId="77777777" w:rsidR="00BC5D0C" w:rsidRPr="007866B1" w:rsidRDefault="00BC5D0C" w:rsidP="007866B1">
      <w:pPr>
        <w:pStyle w:val="NoSpacing"/>
      </w:pPr>
      <w:r w:rsidRPr="007866B1">
        <w:t>„(5) В случай че възникнат обективни пречки за предоставянето на променливото възнаграждение под формата на акции (вкл. но не само прекратяване на Дружеството с или без правоприемство, свободната търговия с акциите на Дружеството на организиран пазар за  ценни книжа бъде трайно прекратена и др.), във всеки един момент до датата на прехвърляне на собствеността върху акциите, съответно до датата на предоставяне на правата, членовете на Управителния съвет ще имат право да получат паричната равностойност на променливото възнаграждение под формата на акции, определена на база:</w:t>
      </w:r>
    </w:p>
    <w:p w14:paraId="00F3CADA" w14:textId="77777777" w:rsidR="00BC5D0C" w:rsidRPr="007866B1" w:rsidRDefault="00BC5D0C" w:rsidP="007866B1">
      <w:pPr>
        <w:pStyle w:val="NoSpacing"/>
      </w:pPr>
      <w:r w:rsidRPr="007866B1">
        <w:t>- максимален брой акции, коригиран пропорционално на изминалата към датата на възникване на обективната пречка/прекратяване на търговията част от тригодишния период на проследяване;</w:t>
      </w:r>
    </w:p>
    <w:p w14:paraId="23B9C65E" w14:textId="77777777" w:rsidR="00BC5D0C" w:rsidRPr="007866B1" w:rsidRDefault="00BC5D0C" w:rsidP="007866B1">
      <w:pPr>
        <w:pStyle w:val="NoSpacing"/>
      </w:pPr>
      <w:r w:rsidRPr="007866B1">
        <w:t>- стойности на критериите за проследяване, определени за периода от началото на тригодишния период за проследяване до края на последната изминала финансова година към датата на възникване на обективната пречка/прекратяване на търговията;</w:t>
      </w:r>
    </w:p>
    <w:p w14:paraId="2AB0FED1" w14:textId="77777777" w:rsidR="00BC5D0C" w:rsidRPr="007866B1" w:rsidRDefault="00BC5D0C" w:rsidP="007866B1">
      <w:pPr>
        <w:pStyle w:val="NoSpacing"/>
        <w:rPr>
          <w:b/>
          <w:bCs/>
        </w:rPr>
      </w:pPr>
      <w:r w:rsidRPr="007866B1">
        <w:t xml:space="preserve">- средната цена на затваряне на акциите на организиран пазар на ценни книжа за последните 30 дни, предшестващи датата на възникване на обективната пречка/прекратяването на търговията.“  </w:t>
      </w:r>
      <w:r w:rsidRPr="007866B1">
        <w:rPr>
          <w:b/>
          <w:bCs/>
        </w:rPr>
        <w:t xml:space="preserve"> </w:t>
      </w:r>
    </w:p>
    <w:p w14:paraId="363D4908" w14:textId="77777777" w:rsidR="007866B1" w:rsidRDefault="007866B1" w:rsidP="007866B1">
      <w:pPr>
        <w:pStyle w:val="NoSpacing"/>
        <w:rPr>
          <w:b/>
          <w:bCs/>
        </w:rPr>
      </w:pPr>
    </w:p>
    <w:p w14:paraId="5D550480" w14:textId="713C6D62" w:rsidR="007C2F2C" w:rsidRPr="007866B1" w:rsidRDefault="007C2F2C" w:rsidP="007866B1">
      <w:pPr>
        <w:pStyle w:val="NoSpacing"/>
        <w:rPr>
          <w:b/>
          <w:bCs/>
        </w:rPr>
      </w:pPr>
      <w:r w:rsidRPr="007866B1">
        <w:rPr>
          <w:b/>
          <w:bCs/>
        </w:rPr>
        <w:t>Начин на гласуване:</w:t>
      </w:r>
    </w:p>
    <w:p w14:paraId="50AD6274" w14:textId="77777777" w:rsidR="007866B1" w:rsidRDefault="007866B1" w:rsidP="007866B1">
      <w:pPr>
        <w:pStyle w:val="NoSpacing"/>
      </w:pPr>
    </w:p>
    <w:p w14:paraId="219A7898" w14:textId="68278F32" w:rsidR="007C2F2C" w:rsidRPr="007866B1" w:rsidRDefault="007C2F2C" w:rsidP="007866B1">
      <w:pPr>
        <w:pStyle w:val="NoSpacing"/>
      </w:pPr>
      <w:r w:rsidRPr="007866B1">
        <w:t xml:space="preserve">……………………………… </w:t>
      </w:r>
    </w:p>
    <w:p w14:paraId="3E112DBE" w14:textId="22A72E53" w:rsidR="007C2F2C" w:rsidRPr="007866B1" w:rsidRDefault="007C2F2C" w:rsidP="007866B1">
      <w:pPr>
        <w:pStyle w:val="NoSpacing"/>
      </w:pPr>
      <w:r w:rsidRPr="007866B1">
        <w:t xml:space="preserve">(„За”, „Против”, „Въздържал се”) </w:t>
      </w:r>
    </w:p>
    <w:bookmarkEnd w:id="4"/>
    <w:p w14:paraId="25C84399" w14:textId="77777777" w:rsidR="007866B1" w:rsidRDefault="007866B1" w:rsidP="007866B1">
      <w:pPr>
        <w:pStyle w:val="NoSpacing"/>
        <w:rPr>
          <w:b/>
          <w:bCs/>
        </w:rPr>
      </w:pPr>
    </w:p>
    <w:p w14:paraId="3E3891D6" w14:textId="02A8EE3D" w:rsidR="002B65C3" w:rsidRPr="007866B1" w:rsidRDefault="007C2F2C" w:rsidP="007866B1">
      <w:pPr>
        <w:pStyle w:val="NoSpacing"/>
        <w:rPr>
          <w:b/>
          <w:bCs/>
        </w:rPr>
      </w:pPr>
      <w:r w:rsidRPr="007866B1">
        <w:rPr>
          <w:b/>
          <w:bCs/>
        </w:rPr>
        <w:t xml:space="preserve">6. </w:t>
      </w:r>
      <w:bookmarkStart w:id="5" w:name="_Hlk71873566"/>
      <w:r w:rsidR="002B65C3" w:rsidRPr="007866B1">
        <w:rPr>
          <w:b/>
          <w:bCs/>
        </w:rPr>
        <w:t>Вземане на решение за предоставяне на членовете на Управителния съвет на възнаграждение въз основа на акции на Дружеството за 2021 г.</w:t>
      </w:r>
    </w:p>
    <w:p w14:paraId="6F7498D4" w14:textId="779E5207" w:rsidR="002B65C3" w:rsidRPr="007866B1" w:rsidRDefault="002B65C3" w:rsidP="007866B1">
      <w:pPr>
        <w:pStyle w:val="NoSpacing"/>
      </w:pPr>
      <w:r w:rsidRPr="007866B1">
        <w:rPr>
          <w:u w:val="single"/>
        </w:rPr>
        <w:t>Предложение за решение:</w:t>
      </w:r>
      <w:r w:rsidRPr="007866B1">
        <w:t xml:space="preserve"> Общото събрание на акционерите взима решение и одобрява предоставянето на членовете на Управителния съвет на възнаграждение въз основа на акции на Дружеството за 2021 г.</w:t>
      </w:r>
    </w:p>
    <w:p w14:paraId="442C8282" w14:textId="77777777" w:rsidR="007866B1" w:rsidRDefault="007866B1" w:rsidP="007866B1">
      <w:pPr>
        <w:pStyle w:val="NoSpacing"/>
        <w:rPr>
          <w:b/>
          <w:bCs/>
        </w:rPr>
      </w:pPr>
    </w:p>
    <w:p w14:paraId="7D85D5EE" w14:textId="0ED60939" w:rsidR="002B65C3" w:rsidRPr="007866B1" w:rsidRDefault="002B65C3" w:rsidP="007866B1">
      <w:pPr>
        <w:pStyle w:val="NoSpacing"/>
        <w:rPr>
          <w:b/>
          <w:bCs/>
        </w:rPr>
      </w:pPr>
      <w:r w:rsidRPr="007866B1">
        <w:rPr>
          <w:b/>
          <w:bCs/>
        </w:rPr>
        <w:t>Начин на гласуване:</w:t>
      </w:r>
    </w:p>
    <w:p w14:paraId="243886C3" w14:textId="77777777" w:rsidR="007866B1" w:rsidRDefault="007866B1" w:rsidP="007866B1">
      <w:pPr>
        <w:pStyle w:val="NoSpacing"/>
      </w:pPr>
    </w:p>
    <w:p w14:paraId="126CF483" w14:textId="7A9794E8" w:rsidR="002B65C3" w:rsidRPr="007866B1" w:rsidRDefault="002B65C3" w:rsidP="007866B1">
      <w:pPr>
        <w:pStyle w:val="NoSpacing"/>
      </w:pPr>
      <w:r w:rsidRPr="007866B1">
        <w:t xml:space="preserve">……………………………… </w:t>
      </w:r>
    </w:p>
    <w:p w14:paraId="78ED128A" w14:textId="0608890F" w:rsidR="002B65C3" w:rsidRPr="007866B1" w:rsidRDefault="002B65C3" w:rsidP="007866B1">
      <w:pPr>
        <w:pStyle w:val="NoSpacing"/>
      </w:pPr>
      <w:r w:rsidRPr="007866B1">
        <w:t xml:space="preserve">(„За”, „Против”, „Въздържал се”) </w:t>
      </w:r>
    </w:p>
    <w:p w14:paraId="665D680C" w14:textId="77777777" w:rsidR="007866B1" w:rsidRDefault="007866B1" w:rsidP="007866B1">
      <w:pPr>
        <w:pStyle w:val="NoSpacing"/>
        <w:rPr>
          <w:b/>
          <w:bCs/>
        </w:rPr>
      </w:pPr>
    </w:p>
    <w:p w14:paraId="06EB476B" w14:textId="107EAA71" w:rsidR="00E01639" w:rsidRPr="007866B1" w:rsidRDefault="002B65C3" w:rsidP="007866B1">
      <w:pPr>
        <w:pStyle w:val="NoSpacing"/>
        <w:rPr>
          <w:b/>
          <w:bCs/>
        </w:rPr>
      </w:pPr>
      <w:r w:rsidRPr="007866B1">
        <w:rPr>
          <w:b/>
          <w:bCs/>
        </w:rPr>
        <w:t>7.</w:t>
      </w:r>
      <w:r w:rsidR="00F63797" w:rsidRPr="007866B1">
        <w:rPr>
          <w:b/>
          <w:bCs/>
        </w:rPr>
        <w:t xml:space="preserve"> </w:t>
      </w:r>
      <w:r w:rsidR="00F63797" w:rsidRPr="007866B1">
        <w:rPr>
          <w:b/>
          <w:bCs/>
        </w:rPr>
        <w:t>Одобрение на схема за предоставяне на възнаграждение въз основа на акции на Дружеството на членовете на Управителния съвет за 2021 г.</w:t>
      </w:r>
    </w:p>
    <w:p w14:paraId="0FA8EE95" w14:textId="77777777" w:rsidR="00F63797" w:rsidRPr="007866B1" w:rsidRDefault="00F63797" w:rsidP="007866B1">
      <w:pPr>
        <w:pStyle w:val="NoSpacing"/>
      </w:pPr>
      <w:r w:rsidRPr="007866B1">
        <w:rPr>
          <w:u w:val="single"/>
        </w:rPr>
        <w:t>Предложение за решение:</w:t>
      </w:r>
      <w:r w:rsidRPr="007866B1">
        <w:t xml:space="preserve"> Общото събрание на акционерите одобрява Схема за предоставяне на възнаграждение въз основа на акции на Дружеството на членовете на Управителния съвет за 2021 г., както следва:</w:t>
      </w:r>
    </w:p>
    <w:p w14:paraId="5ED577C2" w14:textId="77777777" w:rsidR="00F63797" w:rsidRPr="007866B1" w:rsidRDefault="00F63797" w:rsidP="007866B1">
      <w:pPr>
        <w:pStyle w:val="NoSpacing"/>
      </w:pPr>
      <w:r w:rsidRPr="007866B1">
        <w:t xml:space="preserve">1. Максимален брой на акциите, предмет на възнаграждението </w:t>
      </w:r>
    </w:p>
    <w:p w14:paraId="3E603F11" w14:textId="77777777" w:rsidR="00F63797" w:rsidRPr="007866B1" w:rsidRDefault="00F63797" w:rsidP="007866B1">
      <w:pPr>
        <w:pStyle w:val="NoSpacing"/>
      </w:pPr>
      <w:r w:rsidRPr="007866B1">
        <w:t xml:space="preserve">До 15 000 броя акции или 0.12% от всички акции в капитала на Дружеството (изразени в процент от капитала към датата на настоящото одобрение), които се предоставят изцяло или частично в зависимост от удовлетворяването на условията, определени в т. 3.1, 3.2 и 3.8 по-долу  </w:t>
      </w:r>
    </w:p>
    <w:p w14:paraId="0D60571B" w14:textId="77777777" w:rsidR="00F63797" w:rsidRPr="007866B1" w:rsidRDefault="00F63797" w:rsidP="007866B1">
      <w:pPr>
        <w:pStyle w:val="NoSpacing"/>
      </w:pPr>
      <w:r w:rsidRPr="007866B1">
        <w:t xml:space="preserve">2. Ред за предоставяне на акциите </w:t>
      </w:r>
    </w:p>
    <w:p w14:paraId="43FA57D0" w14:textId="77777777" w:rsidR="00F63797" w:rsidRPr="007866B1" w:rsidRDefault="00F63797" w:rsidP="007866B1">
      <w:pPr>
        <w:pStyle w:val="NoSpacing"/>
      </w:pPr>
      <w:r w:rsidRPr="007866B1">
        <w:t xml:space="preserve">• Акциите се предоставят с решение на Надзорния съвет на всички членове на Управителния съвет в рамките на максималния брой на акциите, предмет на възнаграждението. </w:t>
      </w:r>
    </w:p>
    <w:p w14:paraId="76079875" w14:textId="77777777" w:rsidR="00F63797" w:rsidRPr="007866B1" w:rsidRDefault="00F63797" w:rsidP="007866B1">
      <w:pPr>
        <w:pStyle w:val="NoSpacing"/>
      </w:pPr>
      <w:r w:rsidRPr="007866B1">
        <w:t xml:space="preserve">• Акциите, предоставени като възнаграждение на изпълнителните членове на Управителния съвет, както и на членовете на Управителния съвет, ангажирани с управлението на дъщерно дружество, процес или функция в икономическата група на Телелинк Бизнес Сървисис Груп АД („Групата“), ще представляват приблизително 50% от общото възнаграждение на съответния член на Управителния съвет, но не повече от 60% от общото му целево възнаграждение от Групата като цяло за съответната година, предвидено към момента на предоставянето на акциите. </w:t>
      </w:r>
    </w:p>
    <w:p w14:paraId="1C70AECD" w14:textId="77777777" w:rsidR="00F63797" w:rsidRPr="007866B1" w:rsidRDefault="00F63797" w:rsidP="007866B1">
      <w:pPr>
        <w:pStyle w:val="NoSpacing"/>
      </w:pPr>
      <w:r w:rsidRPr="007866B1">
        <w:t xml:space="preserve">• Акциите, предоставени като възнаграждение на членовете на Управителния съвет, които не са ангажирани с управление на дъщерно дружество, процес или функция в Групата, ще представляват приблизително 15% от общото възнаграждение на съответния член на Управителния съвет, но не повече от 20% от общото му целево възнаграждение от Групата като цяло за съответната година, предвидено към момента на предоставянето на акциите. </w:t>
      </w:r>
    </w:p>
    <w:p w14:paraId="29EEB056" w14:textId="77777777" w:rsidR="00F63797" w:rsidRPr="007866B1" w:rsidRDefault="00F63797" w:rsidP="007866B1">
      <w:pPr>
        <w:pStyle w:val="NoSpacing"/>
      </w:pPr>
      <w:r w:rsidRPr="007866B1">
        <w:t xml:space="preserve">• Предоставените акции се разпределят между петимата членове на Управителния съвет, както следва: </w:t>
      </w:r>
    </w:p>
    <w:p w14:paraId="44EFA01E" w14:textId="664855EB" w:rsidR="00F63797" w:rsidRPr="007866B1" w:rsidRDefault="00F63797" w:rsidP="007866B1">
      <w:pPr>
        <w:pStyle w:val="NoSpacing"/>
      </w:pPr>
      <w:r w:rsidRPr="007866B1">
        <w:t xml:space="preserve">изпълнителен член на Управителния съвет – 43.5%; </w:t>
      </w:r>
    </w:p>
    <w:p w14:paraId="37DE86AD" w14:textId="4020E1D5" w:rsidR="00F63797" w:rsidRPr="007866B1" w:rsidRDefault="00F63797" w:rsidP="007866B1">
      <w:pPr>
        <w:pStyle w:val="NoSpacing"/>
      </w:pPr>
      <w:r w:rsidRPr="007866B1">
        <w:t>всеки от тримата членове на Управителния съвет, ангажирани с управление на дъщерно дружество, процес или функция в Групата – 17.4%;</w:t>
      </w:r>
    </w:p>
    <w:p w14:paraId="6EE16446" w14:textId="1B907FAB" w:rsidR="00F63797" w:rsidRPr="007866B1" w:rsidRDefault="00F63797" w:rsidP="007866B1">
      <w:pPr>
        <w:pStyle w:val="NoSpacing"/>
      </w:pPr>
      <w:r w:rsidRPr="007866B1">
        <w:t>член на Управителния съвет, който не е ангажиран с управление на дъщерно дружество, процес или функция в Групата от дружества на Телелинк Бизнес Сървисис Груп АД – 4.3%.</w:t>
      </w:r>
    </w:p>
    <w:p w14:paraId="57D0D1EE" w14:textId="77777777" w:rsidR="00F63797" w:rsidRPr="007866B1" w:rsidRDefault="00F63797" w:rsidP="007866B1">
      <w:pPr>
        <w:pStyle w:val="NoSpacing"/>
      </w:pPr>
      <w:r w:rsidRPr="007866B1">
        <w:t xml:space="preserve">3. Условия за предоставяне на акциите </w:t>
      </w:r>
    </w:p>
    <w:p w14:paraId="01128516" w14:textId="77777777" w:rsidR="00F63797" w:rsidRPr="007866B1" w:rsidRDefault="00F63797" w:rsidP="007866B1">
      <w:pPr>
        <w:pStyle w:val="NoSpacing"/>
      </w:pPr>
      <w:r w:rsidRPr="007866B1">
        <w:t xml:space="preserve">3.1.  Членовете на Управителния съвет имат право на една трета (33,33%) или максимум 5000 броя от предоставените акции само и единствено при изпълнение на условие за непрекъсната заетост от три последователни години. Следователно, член, който напусне </w:t>
      </w:r>
      <w:r w:rsidRPr="007866B1">
        <w:lastRenderedPageBreak/>
        <w:t xml:space="preserve">Групата преди края на тригодишния срок за прехвърляне на акциите, не може да получи своите акции, освен в случаите, разрешени от Надзорния съвет въз основа на мотивирано становище или както е предвидено в Политиката за възнагражденията на членовете на Надзорния и Управителния съвет на Дружеството. Що се отнася до изпълнителния член на Управителния съвет, Надзорният съвет може, когато е приложимо, да разреши изключение от условието за непрекъсната заетост, но само на частична и пропорционална основа. </w:t>
      </w:r>
    </w:p>
    <w:p w14:paraId="3E884681" w14:textId="77777777" w:rsidR="00F63797" w:rsidRPr="007866B1" w:rsidRDefault="00F63797" w:rsidP="007866B1">
      <w:pPr>
        <w:pStyle w:val="NoSpacing"/>
      </w:pPr>
      <w:r w:rsidRPr="007866B1">
        <w:t xml:space="preserve">3.2. Членовете на Управителния съвет имат право на две трети (66,67%) или до 10 000 броя от предоставените акции (наричани по-долу „Акции при изпълнение“ или „АИ“) съгласно критерии за дългосрочно представяне, свързани с целевите резултати на Групата. </w:t>
      </w:r>
    </w:p>
    <w:p w14:paraId="0D058E78" w14:textId="77777777" w:rsidR="00F63797" w:rsidRPr="007866B1" w:rsidRDefault="00F63797" w:rsidP="007866B1">
      <w:pPr>
        <w:pStyle w:val="NoSpacing"/>
      </w:pPr>
      <w:r w:rsidRPr="007866B1">
        <w:t>3.3. Условията за изпълнение са определени от Надзорния съвет. Те са еднакви за всички членове и важат за всички предоставени АИ.</w:t>
      </w:r>
    </w:p>
    <w:p w14:paraId="29375B1A" w14:textId="77777777" w:rsidR="00F63797" w:rsidRPr="007866B1" w:rsidRDefault="00F63797" w:rsidP="007866B1">
      <w:pPr>
        <w:pStyle w:val="NoSpacing"/>
      </w:pPr>
      <w:r w:rsidRPr="007866B1">
        <w:t xml:space="preserve">3.4. Условията за изпълнение са обективни и измерими и включват показатели, които са от значение за дългосрочното развитие на дейността на Групата и съответстват на настоящата среда, в която тя осъществява своята дейност. Те включват критерии, които са представителни за работата на Дружеството и са адаптирани към специфичния характер на неговата дейност. </w:t>
      </w:r>
    </w:p>
    <w:p w14:paraId="4BAEAF30" w14:textId="77777777" w:rsidR="00F63797" w:rsidRPr="007866B1" w:rsidRDefault="00F63797" w:rsidP="007866B1">
      <w:pPr>
        <w:pStyle w:val="NoSpacing"/>
      </w:pPr>
      <w:r w:rsidRPr="007866B1">
        <w:t xml:space="preserve">3.5. Всички условия за изпълнение се проследяват за референтен период от три години, включващ 2021, 2022 и 2023 г. </w:t>
      </w:r>
    </w:p>
    <w:p w14:paraId="0783ADDE" w14:textId="77777777" w:rsidR="00F63797" w:rsidRPr="007866B1" w:rsidRDefault="00F63797" w:rsidP="007866B1">
      <w:pPr>
        <w:pStyle w:val="NoSpacing"/>
      </w:pPr>
      <w:r w:rsidRPr="007866B1">
        <w:t xml:space="preserve">3.6. АИ за 2021 г. са обвързани с изпълнението на условия за представяне въз основа на четири взаимно допълващи се критерия за резултатите от дейността на Групата, като всеки от тях участва във формирането на окончателния брой предоставени акции, както следва: </w:t>
      </w:r>
    </w:p>
    <w:p w14:paraId="61B1C090" w14:textId="77777777" w:rsidR="00F63797" w:rsidRPr="007866B1" w:rsidRDefault="00F63797" w:rsidP="007866B1">
      <w:pPr>
        <w:pStyle w:val="NoSpacing"/>
      </w:pPr>
      <w:r w:rsidRPr="007866B1">
        <w:t>• средният ръст на Приходите формира до 20% от максималния брой АИ или до 13.33% от максималния брой общо предоставени акции;</w:t>
      </w:r>
    </w:p>
    <w:p w14:paraId="7B3546E0" w14:textId="77777777" w:rsidR="00F63797" w:rsidRPr="007866B1" w:rsidRDefault="00F63797" w:rsidP="007866B1">
      <w:pPr>
        <w:pStyle w:val="NoSpacing"/>
      </w:pPr>
      <w:r w:rsidRPr="007866B1">
        <w:t xml:space="preserve">• средният ръст на Печалбата от продажби формира до 30% от максималния брой АИ или до 20% от максималния брой общо предоставени акции; </w:t>
      </w:r>
    </w:p>
    <w:p w14:paraId="45ECF52A" w14:textId="77777777" w:rsidR="00F63797" w:rsidRPr="007866B1" w:rsidRDefault="00F63797" w:rsidP="007866B1">
      <w:pPr>
        <w:pStyle w:val="NoSpacing"/>
      </w:pPr>
      <w:r w:rsidRPr="007866B1">
        <w:t xml:space="preserve">• средният ръст на EBITDA формира до 30% от максималния брой Акции при изпълнение или до 20% от максималния брой общо предоставени акции; </w:t>
      </w:r>
    </w:p>
    <w:p w14:paraId="2E86146A" w14:textId="77777777" w:rsidR="00F63797" w:rsidRPr="007866B1" w:rsidRDefault="00F63797" w:rsidP="007866B1">
      <w:pPr>
        <w:pStyle w:val="NoSpacing"/>
      </w:pPr>
      <w:r w:rsidRPr="007866B1">
        <w:t xml:space="preserve">• средният NPS формира до 20% от максималния брой Акции при изпълнение или до 13,33% от максималния брой общо предоставени акции;  </w:t>
      </w:r>
    </w:p>
    <w:p w14:paraId="68C9FD46" w14:textId="77777777" w:rsidR="00F63797" w:rsidRPr="007866B1" w:rsidRDefault="00F63797" w:rsidP="007866B1">
      <w:pPr>
        <w:pStyle w:val="NoSpacing"/>
      </w:pPr>
      <w:r w:rsidRPr="007866B1">
        <w:t xml:space="preserve">където: </w:t>
      </w:r>
    </w:p>
    <w:p w14:paraId="28064D4F" w14:textId="482E1CC5" w:rsidR="00F63797" w:rsidRPr="007866B1" w:rsidRDefault="00F63797" w:rsidP="007866B1">
      <w:pPr>
        <w:pStyle w:val="NoSpacing"/>
        <w:numPr>
          <w:ilvl w:val="0"/>
          <w:numId w:val="12"/>
        </w:numPr>
        <w:ind w:left="851" w:hanging="284"/>
      </w:pPr>
      <w:r w:rsidRPr="007866B1">
        <w:t xml:space="preserve">„Приходи“ означава консолидираните нетни приходи от продажби; </w:t>
      </w:r>
    </w:p>
    <w:p w14:paraId="14D0923D" w14:textId="5C2DA0F7" w:rsidR="00F63797" w:rsidRPr="007866B1" w:rsidRDefault="00F63797" w:rsidP="007866B1">
      <w:pPr>
        <w:pStyle w:val="NoSpacing"/>
        <w:numPr>
          <w:ilvl w:val="0"/>
          <w:numId w:val="12"/>
        </w:numPr>
        <w:ind w:left="851" w:hanging="284"/>
      </w:pPr>
      <w:r w:rsidRPr="007866B1">
        <w:t xml:space="preserve">„Печалба от продажби“ означава консолидираната брутна печалба, намалена с разходите за продажби и маркетинг; </w:t>
      </w:r>
    </w:p>
    <w:p w14:paraId="2086ED07" w14:textId="520EFB10" w:rsidR="00F63797" w:rsidRPr="007866B1" w:rsidRDefault="00F63797" w:rsidP="007866B1">
      <w:pPr>
        <w:pStyle w:val="NoSpacing"/>
        <w:numPr>
          <w:ilvl w:val="0"/>
          <w:numId w:val="12"/>
        </w:numPr>
        <w:ind w:left="851" w:hanging="284"/>
      </w:pPr>
      <w:r w:rsidRPr="007866B1">
        <w:t xml:space="preserve">„EBITDA“ означава консолидирана печалба преди данъци, лихви и амортизации; </w:t>
      </w:r>
    </w:p>
    <w:p w14:paraId="733FE83A" w14:textId="77B3D076" w:rsidR="00F63797" w:rsidRPr="007866B1" w:rsidRDefault="00F63797" w:rsidP="007866B1">
      <w:pPr>
        <w:pStyle w:val="NoSpacing"/>
        <w:numPr>
          <w:ilvl w:val="0"/>
          <w:numId w:val="12"/>
        </w:numPr>
        <w:ind w:left="851" w:hanging="284"/>
      </w:pPr>
      <w:r w:rsidRPr="007866B1">
        <w:t xml:space="preserve">„NPS“ (Net </w:t>
      </w:r>
      <w:proofErr w:type="spellStart"/>
      <w:r w:rsidRPr="007866B1">
        <w:t>Promoter</w:t>
      </w:r>
      <w:proofErr w:type="spellEnd"/>
      <w:r w:rsidRPr="007866B1">
        <w:t xml:space="preserve"> </w:t>
      </w:r>
      <w:proofErr w:type="spellStart"/>
      <w:r w:rsidRPr="007866B1">
        <w:t>Score</w:t>
      </w:r>
      <w:proofErr w:type="spellEnd"/>
      <w:r w:rsidRPr="007866B1">
        <w:t xml:space="preserve">) е показател за удовлетвореност на клиентите, изчислен като разлика между процента на клиентите с висока и ниска вероятност да препоръчат Групата като доставчик в общия брой на отговорилите сред анкетираните клиенти на Групата; </w:t>
      </w:r>
    </w:p>
    <w:p w14:paraId="75BCEC3B" w14:textId="70ED3BB3" w:rsidR="00F63797" w:rsidRPr="007866B1" w:rsidRDefault="00F63797" w:rsidP="007866B1">
      <w:pPr>
        <w:pStyle w:val="NoSpacing"/>
        <w:numPr>
          <w:ilvl w:val="0"/>
          <w:numId w:val="12"/>
        </w:numPr>
        <w:ind w:left="851" w:hanging="284"/>
      </w:pPr>
      <w:r w:rsidRPr="007866B1">
        <w:t>„среден ръст“ означава осредненият годишен темп на растеж (CAGR) за периода 2021-2023 г., изчислен като съотношение на стойността на всеки съответен показател за 2023 г. към стойността на същия показател за 2020 г., повдигнато на степен 1/3, минус 1;</w:t>
      </w:r>
    </w:p>
    <w:p w14:paraId="6BBF9AAD" w14:textId="32676926" w:rsidR="00F63797" w:rsidRPr="007866B1" w:rsidRDefault="00F63797" w:rsidP="007866B1">
      <w:pPr>
        <w:pStyle w:val="NoSpacing"/>
        <w:numPr>
          <w:ilvl w:val="0"/>
          <w:numId w:val="12"/>
        </w:numPr>
        <w:ind w:left="851" w:hanging="284"/>
      </w:pPr>
      <w:r w:rsidRPr="007866B1">
        <w:t xml:space="preserve">„консолидиран“ означава стойността, отчетена или изчислена въз основа на годишния консолидиран финансов отчет на Телелинк Бизнес Сървисис Груп АД по МСФО. </w:t>
      </w:r>
    </w:p>
    <w:p w14:paraId="309DD9CE" w14:textId="77777777" w:rsidR="00F63797" w:rsidRPr="007866B1" w:rsidRDefault="00F63797" w:rsidP="007866B1">
      <w:pPr>
        <w:pStyle w:val="NoSpacing"/>
      </w:pPr>
      <w:r w:rsidRPr="007866B1">
        <w:t>3.7. Оценката на изпълнението на условията за представяне се извършва, както следва:</w:t>
      </w:r>
    </w:p>
    <w:p w14:paraId="32B99086" w14:textId="77777777" w:rsidR="00F63797" w:rsidRPr="007866B1" w:rsidRDefault="00F63797" w:rsidP="007866B1">
      <w:pPr>
        <w:pStyle w:val="NoSpacing"/>
      </w:pPr>
      <w:r w:rsidRPr="007866B1">
        <w:t xml:space="preserve">• изпълнението на всеки от горните критерии и съответния окончателен брой на предоставени акции се установяват спрямо предварително определени диапазони на представяне, специфични за всеки критерий, както е посочено в таблицата по т. 3.8 по-долу; </w:t>
      </w:r>
    </w:p>
    <w:p w14:paraId="13EA329C" w14:textId="77777777" w:rsidR="00F63797" w:rsidRPr="007866B1" w:rsidRDefault="00F63797" w:rsidP="007866B1">
      <w:pPr>
        <w:pStyle w:val="NoSpacing"/>
      </w:pPr>
      <w:r w:rsidRPr="007866B1">
        <w:lastRenderedPageBreak/>
        <w:t xml:space="preserve">• Надзорният съвет трябва да посочи дали и до каква степен условията за представяне са изпълнени чрез надлежно обосновано решение, включено в доклада на Надзорния съвет до Общото събрание на акционерите относно прилагането на Политиката за възнагражденията; </w:t>
      </w:r>
    </w:p>
    <w:p w14:paraId="1AA43A8E" w14:textId="77777777" w:rsidR="00F63797" w:rsidRPr="007866B1" w:rsidRDefault="00F63797" w:rsidP="007866B1">
      <w:pPr>
        <w:pStyle w:val="NoSpacing"/>
      </w:pPr>
      <w:r w:rsidRPr="007866B1">
        <w:t>• оценката на изпълнението на условията за представяне се извършва през 2024 г., след заверка на одитирания консолидиран финансов отчет на Телелинк Бизнес Сървисис Груп АД за 2023 г.</w:t>
      </w:r>
    </w:p>
    <w:p w14:paraId="29670FB0" w14:textId="75543411" w:rsidR="00F63797" w:rsidRDefault="00F63797" w:rsidP="007866B1">
      <w:pPr>
        <w:pStyle w:val="NoSpacing"/>
      </w:pPr>
      <w:r w:rsidRPr="007866B1">
        <w:t xml:space="preserve">3.8. Броят и процентното разпределение на предоставените акции и диапазоните на окончателния брой предоставени акции съгласно критериите по т. 3.1 и 3.2 по-горе, включително специфичните диапазони на представяне и съответните процент и брой на окончателно предоставени акции, са обобщени в таблицата по-долу, както следва: </w:t>
      </w:r>
    </w:p>
    <w:p w14:paraId="3A5E60CB" w14:textId="77777777" w:rsidR="007866B1" w:rsidRPr="007866B1" w:rsidRDefault="007866B1" w:rsidP="007866B1">
      <w:pPr>
        <w:pStyle w:val="NoSpacing"/>
      </w:pPr>
    </w:p>
    <w:p w14:paraId="71D18BF5" w14:textId="5511305B" w:rsidR="00F63797" w:rsidRPr="00F63797" w:rsidRDefault="001902E2" w:rsidP="007866B1">
      <w:pPr>
        <w:spacing w:after="307" w:line="259" w:lineRule="auto"/>
        <w:ind w:left="561" w:right="29"/>
        <w:jc w:val="center"/>
      </w:pPr>
      <w:r>
        <w:rPr>
          <w:noProof/>
        </w:rPr>
        <w:drawing>
          <wp:inline distT="0" distB="0" distL="0" distR="0" wp14:anchorId="4FADA251" wp14:editId="5364E262">
            <wp:extent cx="5614670" cy="3535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3535680"/>
                    </a:xfrm>
                    <a:prstGeom prst="rect">
                      <a:avLst/>
                    </a:prstGeom>
                    <a:noFill/>
                  </pic:spPr>
                </pic:pic>
              </a:graphicData>
            </a:graphic>
          </wp:inline>
        </w:drawing>
      </w:r>
    </w:p>
    <w:p w14:paraId="1F03F403" w14:textId="77777777" w:rsidR="00F63797" w:rsidRPr="00F63797" w:rsidRDefault="00F63797" w:rsidP="007866B1">
      <w:pPr>
        <w:pStyle w:val="NoSpacing"/>
      </w:pPr>
      <w:r w:rsidRPr="00F63797">
        <w:t xml:space="preserve">4. Прехвърляне на собствеността върху акциите </w:t>
      </w:r>
    </w:p>
    <w:p w14:paraId="75B4DAAC" w14:textId="77777777" w:rsidR="00F63797" w:rsidRPr="00F63797" w:rsidRDefault="00F63797" w:rsidP="007866B1">
      <w:pPr>
        <w:pStyle w:val="NoSpacing"/>
      </w:pPr>
      <w:r w:rsidRPr="00F63797">
        <w:t xml:space="preserve">Прехвърлянето на собствеността върху окончателно предоставения брой акции се извършва след приключване на съответния тригодишен период, за който се проследява изпълнението на  условията, но не по-рано от три години след датата на решението на Надзорния съвет за тяхното предоставяне. </w:t>
      </w:r>
    </w:p>
    <w:p w14:paraId="3635F28B" w14:textId="77777777" w:rsidR="00F63797" w:rsidRPr="00F63797" w:rsidRDefault="00F63797" w:rsidP="007866B1">
      <w:pPr>
        <w:pStyle w:val="NoSpacing"/>
      </w:pPr>
      <w:r w:rsidRPr="00F63797">
        <w:t xml:space="preserve">5. Условия за запазване на акциите след придобиването им </w:t>
      </w:r>
    </w:p>
    <w:p w14:paraId="4EA6944A" w14:textId="77777777" w:rsidR="00F63797" w:rsidRPr="00F63797" w:rsidRDefault="00F63797" w:rsidP="007866B1">
      <w:pPr>
        <w:pStyle w:val="NoSpacing"/>
      </w:pPr>
      <w:r w:rsidRPr="00F63797">
        <w:t xml:space="preserve">Не се определят и не се прилагат условия за запазване на акциите след придобиването им. </w:t>
      </w:r>
    </w:p>
    <w:p w14:paraId="6793B3E5" w14:textId="77777777" w:rsidR="00F63797" w:rsidRPr="00F63797" w:rsidRDefault="00F63797" w:rsidP="007866B1">
      <w:pPr>
        <w:pStyle w:val="NoSpacing"/>
      </w:pPr>
      <w:r w:rsidRPr="00F63797">
        <w:t xml:space="preserve">6. Срок, в който може да се предоставя възнаграждението въз основа на акции </w:t>
      </w:r>
    </w:p>
    <w:p w14:paraId="2869504E" w14:textId="77777777" w:rsidR="00F63797" w:rsidRPr="00F63797" w:rsidRDefault="00F63797" w:rsidP="007866B1">
      <w:pPr>
        <w:pStyle w:val="NoSpacing"/>
      </w:pPr>
      <w:r w:rsidRPr="00F63797">
        <w:t>Надзорният съвет може да предостави на членовете на Управителния съвет възнаграждението въз основа на акции за 2021 г. до края на м. декември 2021 г. след предварително одобрение от общото събрание на акционерите на настоящата Схема.</w:t>
      </w:r>
    </w:p>
    <w:p w14:paraId="117B1A7A" w14:textId="77777777" w:rsidR="007866B1" w:rsidRDefault="007866B1" w:rsidP="007866B1">
      <w:pPr>
        <w:pStyle w:val="NoSpacing"/>
        <w:rPr>
          <w:b/>
          <w:bCs/>
        </w:rPr>
      </w:pPr>
    </w:p>
    <w:p w14:paraId="7DD8A651" w14:textId="7855DFE4" w:rsidR="007C2F2C" w:rsidRDefault="007C2F2C" w:rsidP="007866B1">
      <w:pPr>
        <w:pStyle w:val="NoSpacing"/>
        <w:rPr>
          <w:b/>
          <w:bCs/>
        </w:rPr>
      </w:pPr>
      <w:r w:rsidRPr="00F67762">
        <w:rPr>
          <w:b/>
          <w:bCs/>
        </w:rPr>
        <w:t>Начин на гласуване:</w:t>
      </w:r>
    </w:p>
    <w:p w14:paraId="12BB6370" w14:textId="77777777" w:rsidR="007866B1" w:rsidRDefault="007866B1" w:rsidP="007866B1">
      <w:pPr>
        <w:pStyle w:val="NoSpacing"/>
      </w:pPr>
    </w:p>
    <w:p w14:paraId="7B7171A0" w14:textId="3AB37C7C" w:rsidR="007C2F2C" w:rsidRDefault="007C2F2C" w:rsidP="007866B1">
      <w:pPr>
        <w:pStyle w:val="NoSpacing"/>
      </w:pPr>
      <w:r>
        <w:t xml:space="preserve">……………………………… </w:t>
      </w:r>
    </w:p>
    <w:p w14:paraId="4A20FF3C" w14:textId="51B425E2" w:rsidR="007C2F2C" w:rsidRDefault="007C2F2C" w:rsidP="007866B1">
      <w:pPr>
        <w:pStyle w:val="NoSpacing"/>
      </w:pPr>
      <w:r>
        <w:t xml:space="preserve">(„За”, „Против”, „Въздържал се”) </w:t>
      </w:r>
    </w:p>
    <w:bookmarkEnd w:id="5"/>
    <w:p w14:paraId="1510F81B" w14:textId="31DD2E24" w:rsidR="00CE611C" w:rsidRDefault="00961C97" w:rsidP="007866B1">
      <w:pPr>
        <w:pStyle w:val="NoSpacing"/>
      </w:pPr>
      <w:r>
        <w:lastRenderedPageBreak/>
        <w:t xml:space="preserve">Пълномощникът  е длъжен  да гласува по горепосочения начин.  </w:t>
      </w:r>
    </w:p>
    <w:p w14:paraId="470AF0E9" w14:textId="4965469B" w:rsidR="00CE611C" w:rsidRDefault="00961C97" w:rsidP="007866B1">
      <w:pPr>
        <w:pStyle w:val="NoSpacing"/>
      </w:pPr>
      <w:r>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ТЗ и не са обявени съгласно чл. 223 и чл. 223а от ТЗ. В случаите по чл. 231, ал.1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  </w:t>
      </w:r>
    </w:p>
    <w:p w14:paraId="09C8F0F7" w14:textId="5AFD5E21" w:rsidR="00CE611C" w:rsidRDefault="00961C97" w:rsidP="007866B1">
      <w:pPr>
        <w:pStyle w:val="NoSpacing"/>
      </w:pPr>
      <w:r>
        <w:t xml:space="preserve">Съгласно чл. 116, ал. 4 от ЗППЦК преупълномощаването с изброените по-горе права е нищожно.                                                           </w:t>
      </w:r>
    </w:p>
    <w:p w14:paraId="3FA78B04" w14:textId="535F9F9C" w:rsidR="00696754" w:rsidRDefault="00961C97" w:rsidP="009250B6">
      <w:pPr>
        <w:spacing w:after="308" w:line="259" w:lineRule="auto"/>
        <w:ind w:left="566" w:firstLine="0"/>
        <w:jc w:val="left"/>
        <w:rPr>
          <w:b/>
        </w:rPr>
      </w:pPr>
      <w:r>
        <w:rPr>
          <w:b/>
        </w:rPr>
        <w:t xml:space="preserve"> </w:t>
      </w:r>
    </w:p>
    <w:p w14:paraId="167B114B" w14:textId="77777777" w:rsidR="007866B1" w:rsidRDefault="007866B1" w:rsidP="009250B6">
      <w:pPr>
        <w:spacing w:after="308" w:line="259" w:lineRule="auto"/>
        <w:ind w:left="566" w:firstLine="0"/>
        <w:jc w:val="left"/>
        <w:rPr>
          <w:b/>
        </w:rPr>
      </w:pPr>
    </w:p>
    <w:p w14:paraId="76B29D5E" w14:textId="3AEEAC94" w:rsidR="00CE611C" w:rsidRDefault="00961C97" w:rsidP="003258CB">
      <w:pPr>
        <w:spacing w:after="307" w:line="259" w:lineRule="auto"/>
        <w:ind w:left="2690" w:firstLine="142"/>
        <w:jc w:val="left"/>
      </w:pPr>
      <w:r>
        <w:rPr>
          <w:b/>
        </w:rPr>
        <w:t xml:space="preserve">УПЪЛНОМОЩИТЕЛ: ______________________________ </w:t>
      </w:r>
    </w:p>
    <w:p w14:paraId="4C83D381" w14:textId="77777777" w:rsidR="007866B1" w:rsidRDefault="007866B1" w:rsidP="007866B1">
      <w:pPr>
        <w:pStyle w:val="NoSpacing"/>
        <w:rPr>
          <w:i/>
          <w:iCs/>
        </w:rPr>
      </w:pPr>
    </w:p>
    <w:p w14:paraId="2DC00168" w14:textId="799E6489" w:rsidR="00CE611C" w:rsidRPr="007866B1" w:rsidRDefault="00961C97" w:rsidP="007866B1">
      <w:pPr>
        <w:pStyle w:val="NoSpacing"/>
        <w:rPr>
          <w:i/>
          <w:iCs/>
        </w:rPr>
      </w:pPr>
      <w:r w:rsidRPr="007866B1">
        <w:rPr>
          <w:i/>
          <w:iCs/>
        </w:rPr>
        <w:t xml:space="preserve">Забележки:  </w:t>
      </w:r>
    </w:p>
    <w:p w14:paraId="3A02C6DA" w14:textId="77777777" w:rsidR="00CE611C" w:rsidRPr="007866B1" w:rsidRDefault="00961C97" w:rsidP="007866B1">
      <w:pPr>
        <w:pStyle w:val="NoSpacing"/>
        <w:numPr>
          <w:ilvl w:val="0"/>
          <w:numId w:val="11"/>
        </w:numPr>
        <w:tabs>
          <w:tab w:val="left" w:pos="993"/>
        </w:tabs>
        <w:ind w:left="567" w:firstLine="0"/>
        <w:rPr>
          <w:i/>
          <w:iCs/>
        </w:rPr>
      </w:pPr>
      <w:r w:rsidRPr="007866B1">
        <w:rPr>
          <w:i/>
          <w:iCs/>
        </w:rPr>
        <w:t xml:space="preserve">За всеки от въпросите от дневния ред трябва да се посочи само един от изброените начини на гласуване: „За“,  „Против“ или „Въздържал се“. </w:t>
      </w:r>
    </w:p>
    <w:p w14:paraId="17936B65" w14:textId="77777777" w:rsidR="00CE611C" w:rsidRPr="007866B1" w:rsidRDefault="00961C97" w:rsidP="007866B1">
      <w:pPr>
        <w:pStyle w:val="NoSpacing"/>
        <w:numPr>
          <w:ilvl w:val="0"/>
          <w:numId w:val="11"/>
        </w:numPr>
        <w:tabs>
          <w:tab w:val="left" w:pos="993"/>
        </w:tabs>
        <w:ind w:left="567" w:firstLine="0"/>
        <w:rPr>
          <w:i/>
          <w:iCs/>
        </w:rPr>
      </w:pPr>
      <w:r w:rsidRPr="007866B1">
        <w:rPr>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0D8BBF23" w14:textId="77777777" w:rsidR="00CE611C" w:rsidRPr="007866B1" w:rsidRDefault="00961C97" w:rsidP="007866B1">
      <w:pPr>
        <w:pStyle w:val="NoSpacing"/>
        <w:numPr>
          <w:ilvl w:val="0"/>
          <w:numId w:val="11"/>
        </w:numPr>
        <w:tabs>
          <w:tab w:val="left" w:pos="993"/>
        </w:tabs>
        <w:ind w:left="567" w:firstLine="0"/>
        <w:rPr>
          <w:i/>
          <w:iCs/>
        </w:rPr>
      </w:pPr>
      <w:r w:rsidRPr="007866B1">
        <w:rPr>
          <w:i/>
          <w:iCs/>
        </w:rPr>
        <w:t xml:space="preserve">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 </w:t>
      </w:r>
    </w:p>
    <w:p w14:paraId="45305318" w14:textId="117EE310" w:rsidR="00CE611C" w:rsidRDefault="00CE611C" w:rsidP="007866B1">
      <w:pPr>
        <w:spacing w:after="0" w:line="259" w:lineRule="auto"/>
        <w:ind w:left="0" w:firstLine="105"/>
        <w:jc w:val="left"/>
      </w:pPr>
    </w:p>
    <w:sectPr w:rsidR="00CE611C">
      <w:footerReference w:type="even" r:id="rId10"/>
      <w:footerReference w:type="default" r:id="rId11"/>
      <w:footerReference w:type="first" r:id="rId12"/>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9BC8" w14:textId="77777777" w:rsidR="00E35244" w:rsidRDefault="00E35244">
      <w:pPr>
        <w:spacing w:after="0" w:line="240" w:lineRule="auto"/>
      </w:pPr>
      <w:r>
        <w:separator/>
      </w:r>
    </w:p>
  </w:endnote>
  <w:endnote w:type="continuationSeparator" w:id="0">
    <w:p w14:paraId="6130A00C" w14:textId="77777777" w:rsidR="00E35244" w:rsidRDefault="00E3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B9DA" w14:textId="77777777" w:rsidR="00E35244" w:rsidRDefault="00E35244">
      <w:pPr>
        <w:spacing w:after="0" w:line="240" w:lineRule="auto"/>
      </w:pPr>
      <w:r>
        <w:separator/>
      </w:r>
    </w:p>
  </w:footnote>
  <w:footnote w:type="continuationSeparator" w:id="0">
    <w:p w14:paraId="5B3DC326" w14:textId="77777777" w:rsidR="00E35244" w:rsidRDefault="00E35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1471B1"/>
    <w:multiLevelType w:val="hybridMultilevel"/>
    <w:tmpl w:val="AB38EE30"/>
    <w:lvl w:ilvl="0" w:tplc="6B20251A">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3"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76C2D"/>
    <w:multiLevelType w:val="hybridMultilevel"/>
    <w:tmpl w:val="812869E4"/>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5" w15:restartNumberingAfterBreak="0">
    <w:nsid w:val="25777868"/>
    <w:multiLevelType w:val="hybridMultilevel"/>
    <w:tmpl w:val="F710A894"/>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363841F3"/>
    <w:multiLevelType w:val="hybridMultilevel"/>
    <w:tmpl w:val="AFE46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E30C3"/>
    <w:multiLevelType w:val="hybridMultilevel"/>
    <w:tmpl w:val="A922E9C8"/>
    <w:lvl w:ilvl="0" w:tplc="6B20251A">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8"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10"/>
  </w:num>
  <w:num w:numId="4">
    <w:abstractNumId w:val="11"/>
  </w:num>
  <w:num w:numId="5">
    <w:abstractNumId w:val="8"/>
  </w:num>
  <w:num w:numId="6">
    <w:abstractNumId w:val="3"/>
  </w:num>
  <w:num w:numId="7">
    <w:abstractNumId w:val="9"/>
  </w:num>
  <w:num w:numId="8">
    <w:abstractNumId w:val="4"/>
  </w:num>
  <w:num w:numId="9">
    <w:abstractNumId w:val="7"/>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1902E2"/>
    <w:rsid w:val="002700BF"/>
    <w:rsid w:val="00281749"/>
    <w:rsid w:val="002B65C3"/>
    <w:rsid w:val="003258CB"/>
    <w:rsid w:val="003B5E88"/>
    <w:rsid w:val="004A2116"/>
    <w:rsid w:val="00503CE9"/>
    <w:rsid w:val="00544AC6"/>
    <w:rsid w:val="005F687C"/>
    <w:rsid w:val="006646A6"/>
    <w:rsid w:val="00696754"/>
    <w:rsid w:val="006D735D"/>
    <w:rsid w:val="0075271F"/>
    <w:rsid w:val="007866B1"/>
    <w:rsid w:val="007C2F2C"/>
    <w:rsid w:val="008A3068"/>
    <w:rsid w:val="009250B6"/>
    <w:rsid w:val="00961C97"/>
    <w:rsid w:val="00997173"/>
    <w:rsid w:val="00AD5E4A"/>
    <w:rsid w:val="00B7188E"/>
    <w:rsid w:val="00BC5D0C"/>
    <w:rsid w:val="00CE611C"/>
    <w:rsid w:val="00D674AD"/>
    <w:rsid w:val="00E01639"/>
    <w:rsid w:val="00E35244"/>
    <w:rsid w:val="00F31D0D"/>
    <w:rsid w:val="00F63797"/>
    <w:rsid w:val="00F677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B6"/>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 w:type="paragraph" w:styleId="NoSpacing">
    <w:name w:val="No Spacing"/>
    <w:uiPriority w:val="1"/>
    <w:qFormat/>
    <w:rsid w:val="007866B1"/>
    <w:pPr>
      <w:spacing w:after="0" w:line="240" w:lineRule="auto"/>
      <w:ind w:left="576" w:hanging="10"/>
      <w:jc w:val="both"/>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22</cp:revision>
  <dcterms:created xsi:type="dcterms:W3CDTF">2021-08-06T07:09:00Z</dcterms:created>
  <dcterms:modified xsi:type="dcterms:W3CDTF">2021-08-06T07:27:00Z</dcterms:modified>
</cp:coreProperties>
</file>