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2C04" w14:textId="40B9D19A" w:rsidR="00DE30CF" w:rsidRDefault="00270374">
      <w:pPr>
        <w:spacing w:after="0"/>
        <w:ind w:right="6976"/>
        <w:jc w:val="right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193F30" w14:textId="64F5D0FF" w:rsidR="00DE30CF" w:rsidRDefault="00270374">
      <w:pPr>
        <w:spacing w:after="156" w:line="282" w:lineRule="auto"/>
        <w:ind w:right="9581"/>
        <w:jc w:val="both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04E24">
        <w:rPr>
          <w:noProof/>
        </w:rPr>
        <w:drawing>
          <wp:inline distT="0" distB="0" distL="0" distR="0" wp14:anchorId="455FAD23" wp14:editId="50E5862F">
            <wp:extent cx="1587500" cy="678180"/>
            <wp:effectExtent l="0" t="0" r="0" b="7620"/>
            <wp:docPr id="35" name="Picture 35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, font, logo, graphics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57" r="27249"/>
                    <a:stretch/>
                  </pic:blipFill>
                  <pic:spPr bwMode="auto">
                    <a:xfrm>
                      <a:off x="0" y="0"/>
                      <a:ext cx="1587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99F4F2" w14:textId="77777777" w:rsidR="00DE30CF" w:rsidRDefault="0027037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36" w:type="dxa"/>
        <w:tblInd w:w="-170" w:type="dxa"/>
        <w:tblCellMar>
          <w:top w:w="127" w:type="dxa"/>
          <w:left w:w="108" w:type="dxa"/>
          <w:bottom w:w="8" w:type="dxa"/>
          <w:right w:w="5" w:type="dxa"/>
        </w:tblCellMar>
        <w:tblLook w:val="04A0" w:firstRow="1" w:lastRow="0" w:firstColumn="1" w:lastColumn="0" w:noHBand="0" w:noVBand="1"/>
      </w:tblPr>
      <w:tblGrid>
        <w:gridCol w:w="5559"/>
        <w:gridCol w:w="5377"/>
      </w:tblGrid>
      <w:tr w:rsidR="00DE30CF" w14:paraId="458ECAED" w14:textId="77777777" w:rsidTr="5113E3F9">
        <w:trPr>
          <w:trHeight w:val="950"/>
        </w:trPr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6BFF5" w14:textId="77777777" w:rsidR="00DE30CF" w:rsidRDefault="00270374">
            <w:pPr>
              <w:ind w:left="55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40EDDE4" w14:textId="77777777" w:rsidR="00DE30CF" w:rsidRDefault="00270374">
            <w:pPr>
              <w:ind w:right="94"/>
              <w:jc w:val="center"/>
            </w:pPr>
            <w:r>
              <w:rPr>
                <w:b/>
              </w:rPr>
              <w:t xml:space="preserve">„ТЕЛЕЛИНК БИЗНЕС СЪРВИСИС ГРУП“ АД  </w:t>
            </w:r>
            <w:r>
              <w:t xml:space="preserve"> </w:t>
            </w:r>
          </w:p>
          <w:p w14:paraId="09633D09" w14:textId="77777777" w:rsidR="00DE30CF" w:rsidRDefault="00270374">
            <w:pPr>
              <w:ind w:left="55"/>
              <w:jc w:val="center"/>
            </w:pPr>
            <w:r>
              <w:t xml:space="preserve">  </w:t>
            </w:r>
          </w:p>
        </w:tc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4781" w14:textId="77777777" w:rsidR="00DE30CF" w:rsidRDefault="00270374">
            <w:pPr>
              <w:ind w:left="41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2DA8F369" w14:textId="77777777" w:rsidR="00DE30CF" w:rsidRDefault="00270374">
            <w:pPr>
              <w:ind w:right="113"/>
              <w:jc w:val="center"/>
            </w:pPr>
            <w:r>
              <w:rPr>
                <w:b/>
              </w:rPr>
              <w:t xml:space="preserve">“TELELINK BUSINESS SERVICES GROUP” AD  </w:t>
            </w:r>
            <w:r>
              <w:t xml:space="preserve"> </w:t>
            </w:r>
          </w:p>
        </w:tc>
      </w:tr>
      <w:tr w:rsidR="00DE30CF" w14:paraId="33EA9DDA" w14:textId="77777777" w:rsidTr="5113E3F9">
        <w:trPr>
          <w:trHeight w:val="1260"/>
        </w:trPr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BC064" w14:textId="77777777" w:rsidR="00DE30CF" w:rsidRDefault="00270374">
            <w:pPr>
              <w:ind w:left="45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7E06B15" w14:textId="77777777" w:rsidR="00DE30CF" w:rsidRDefault="00270374">
            <w:pPr>
              <w:ind w:left="12" w:right="18"/>
              <w:jc w:val="center"/>
            </w:pPr>
            <w:r>
              <w:rPr>
                <w:b/>
              </w:rPr>
              <w:t xml:space="preserve">Уведомление относно начало на обратно изкупуване на собствени акции </w:t>
            </w:r>
            <w:r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EBA8" w14:textId="77777777" w:rsidR="00DE30CF" w:rsidRDefault="00270374">
            <w:r>
              <w:rPr>
                <w:b/>
              </w:rPr>
              <w:t xml:space="preserve">  </w:t>
            </w:r>
          </w:p>
          <w:p w14:paraId="64F55C81" w14:textId="77777777" w:rsidR="00DE30CF" w:rsidRDefault="00270374">
            <w:pPr>
              <w:ind w:left="5" w:right="8"/>
              <w:jc w:val="center"/>
            </w:pPr>
            <w:proofErr w:type="spellStart"/>
            <w:r>
              <w:rPr>
                <w:b/>
              </w:rPr>
              <w:t>Announcement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commencement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repurchase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own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shares</w:t>
            </w:r>
            <w:proofErr w:type="spellEnd"/>
            <w:r>
              <w:t xml:space="preserve"> </w:t>
            </w:r>
          </w:p>
        </w:tc>
      </w:tr>
      <w:tr w:rsidR="00DE30CF" w14:paraId="21345759" w14:textId="77777777" w:rsidTr="5113E3F9">
        <w:trPr>
          <w:trHeight w:val="8433"/>
        </w:trPr>
        <w:tc>
          <w:tcPr>
            <w:tcW w:w="5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B677A1" w14:textId="77777777" w:rsidR="00DE30CF" w:rsidRDefault="00270374">
            <w:pPr>
              <w:jc w:val="right"/>
            </w:pPr>
            <w:r>
              <w:t xml:space="preserve"> </w:t>
            </w:r>
          </w:p>
          <w:p w14:paraId="5518479C" w14:textId="77777777" w:rsidR="00DE30CF" w:rsidRDefault="00270374">
            <w:r>
              <w:rPr>
                <w:b/>
              </w:rPr>
              <w:t xml:space="preserve">ДО  </w:t>
            </w:r>
          </w:p>
          <w:p w14:paraId="1F8009A2" w14:textId="77777777" w:rsidR="00DE30CF" w:rsidRDefault="00270374">
            <w:r>
              <w:rPr>
                <w:b/>
              </w:rPr>
              <w:t xml:space="preserve">КОМИСИЯ ЗА ФИНАНСОВ НАДЗОР </w:t>
            </w:r>
          </w:p>
          <w:p w14:paraId="0DFE5D27" w14:textId="77777777" w:rsidR="00DE30CF" w:rsidRDefault="00270374">
            <w:r>
              <w:rPr>
                <w:b/>
              </w:rPr>
              <w:t xml:space="preserve"> </w:t>
            </w:r>
          </w:p>
          <w:p w14:paraId="724857B7" w14:textId="77777777" w:rsidR="00DE30CF" w:rsidRDefault="00270374">
            <w:r>
              <w:rPr>
                <w:b/>
              </w:rPr>
              <w:t xml:space="preserve">ДО  </w:t>
            </w:r>
          </w:p>
          <w:p w14:paraId="5C59EA4F" w14:textId="77777777" w:rsidR="00DE30CF" w:rsidRDefault="00270374">
            <w:r>
              <w:rPr>
                <w:b/>
              </w:rPr>
              <w:t xml:space="preserve">БЪЛГАРСКА ФОНДОВА БОРСА АД </w:t>
            </w:r>
          </w:p>
          <w:p w14:paraId="007EC905" w14:textId="77777777" w:rsidR="00DE30CF" w:rsidRDefault="00270374">
            <w:r>
              <w:rPr>
                <w:b/>
              </w:rPr>
              <w:t xml:space="preserve"> </w:t>
            </w:r>
          </w:p>
          <w:p w14:paraId="1AF28302" w14:textId="77777777" w:rsidR="00DE30CF" w:rsidRDefault="00270374">
            <w:r>
              <w:rPr>
                <w:b/>
              </w:rPr>
              <w:t xml:space="preserve">ДО  </w:t>
            </w:r>
          </w:p>
          <w:p w14:paraId="6498B46C" w14:textId="77777777" w:rsidR="00DE30CF" w:rsidRDefault="00270374">
            <w:r>
              <w:rPr>
                <w:b/>
              </w:rPr>
              <w:t xml:space="preserve">ОБЩЕСТВЕНОСТТА  </w:t>
            </w:r>
          </w:p>
          <w:p w14:paraId="514E90A0" w14:textId="77777777" w:rsidR="00DE30CF" w:rsidRDefault="00270374">
            <w:r>
              <w:rPr>
                <w:b/>
              </w:rPr>
              <w:t xml:space="preserve"> </w:t>
            </w:r>
          </w:p>
          <w:p w14:paraId="4E0F362C" w14:textId="77777777" w:rsidR="00DE30CF" w:rsidRDefault="00270374">
            <w:r>
              <w:rPr>
                <w:b/>
              </w:rPr>
              <w:t xml:space="preserve"> </w:t>
            </w:r>
          </w:p>
          <w:p w14:paraId="389E0CFA" w14:textId="77777777" w:rsidR="00DE30CF" w:rsidRDefault="00270374">
            <w:r>
              <w:rPr>
                <w:b/>
              </w:rPr>
              <w:t xml:space="preserve"> </w:t>
            </w:r>
          </w:p>
          <w:p w14:paraId="2264A83E" w14:textId="77777777" w:rsidR="00DE30CF" w:rsidRDefault="00270374">
            <w:r>
              <w:rPr>
                <w:b/>
              </w:rPr>
              <w:t xml:space="preserve"> </w:t>
            </w:r>
          </w:p>
          <w:p w14:paraId="0A9708B3" w14:textId="77777777" w:rsidR="00DE30CF" w:rsidRDefault="00270374">
            <w:r>
              <w:rPr>
                <w:b/>
              </w:rPr>
              <w:t xml:space="preserve"> </w:t>
            </w:r>
          </w:p>
          <w:p w14:paraId="5F357B04" w14:textId="77777777" w:rsidR="00DE30CF" w:rsidRDefault="00270374">
            <w:pPr>
              <w:jc w:val="both"/>
            </w:pPr>
            <w:r>
              <w:rPr>
                <w:b/>
                <w:u w:val="single" w:color="000000"/>
              </w:rPr>
              <w:t>Правно основание:</w:t>
            </w:r>
            <w:r>
              <w:t xml:space="preserve"> </w:t>
            </w:r>
            <w:r>
              <w:rPr>
                <w:b/>
              </w:rPr>
              <w:t xml:space="preserve">чл. 111, ал. 6 от Закона за публичното предлагане на ценни книжа </w:t>
            </w:r>
          </w:p>
          <w:p w14:paraId="21BD26F1" w14:textId="77777777" w:rsidR="00DE30CF" w:rsidRDefault="00270374">
            <w:r>
              <w:t xml:space="preserve"> </w:t>
            </w:r>
          </w:p>
          <w:p w14:paraId="708BA0E6" w14:textId="77777777" w:rsidR="00DE30CF" w:rsidRDefault="00270374">
            <w:r>
              <w:t xml:space="preserve"> </w:t>
            </w:r>
          </w:p>
          <w:p w14:paraId="37A87DFC" w14:textId="77777777" w:rsidR="00DE30CF" w:rsidRDefault="00270374">
            <w:r>
              <w:t xml:space="preserve"> </w:t>
            </w:r>
          </w:p>
          <w:p w14:paraId="55F5EBB6" w14:textId="00AE76EF" w:rsidR="00DE30CF" w:rsidRDefault="00270374">
            <w:pPr>
              <w:spacing w:line="239" w:lineRule="auto"/>
              <w:ind w:right="98"/>
              <w:jc w:val="both"/>
            </w:pPr>
            <w:r>
              <w:t xml:space="preserve">Във връзка с решение на редовно годишно общо събрание на акционерите, проведено на </w:t>
            </w:r>
            <w:r w:rsidR="00052449">
              <w:t>19</w:t>
            </w:r>
            <w:r>
              <w:t>.06.202</w:t>
            </w:r>
            <w:r w:rsidR="00052449">
              <w:t>4</w:t>
            </w:r>
            <w:r>
              <w:t xml:space="preserve"> г. и на основание разпоредбата на чл. 111, ал. 6 от Закона за публичното предлагане на ценни книжа,   уведомяваме за взето решение от Управителния съвет на „Телелинк Бизнес Сървисис Груп“ АД за стартиране на процедура по обратно изкупуване на до </w:t>
            </w:r>
            <w:r w:rsidR="00C62C1D">
              <w:t>25</w:t>
            </w:r>
            <w:r>
              <w:t xml:space="preserve"> 000 броя собствени акции, представляващи 0.</w:t>
            </w:r>
            <w:r w:rsidR="00C62C1D" w:rsidRPr="5113E3F9">
              <w:rPr>
                <w:lang w:val="en-US"/>
              </w:rPr>
              <w:t>2</w:t>
            </w:r>
            <w:r>
              <w:t>% от капитала на Дружеството, което е в рамките на ограничението по чл. 111, ал. 5 от ЗППЦК. Инвестиционният посредник, на който</w:t>
            </w:r>
            <w:r w:rsidR="1B3600BF">
              <w:t xml:space="preserve"> </w:t>
            </w:r>
            <w:r w:rsidR="73F3D4F4">
              <w:t>щ</w:t>
            </w:r>
            <w:r>
              <w:t>е</w:t>
            </w:r>
            <w:r w:rsidR="7532719E">
              <w:t xml:space="preserve"> бъде </w:t>
            </w:r>
            <w:r>
              <w:t xml:space="preserve">подадена поръчката е ИП „Елана Трейдинг“ АД.  </w:t>
            </w:r>
          </w:p>
          <w:p w14:paraId="566083AD" w14:textId="77777777" w:rsidR="00DE30CF" w:rsidRDefault="00270374">
            <w:r>
              <w:t xml:space="preserve">   </w:t>
            </w:r>
          </w:p>
        </w:tc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86687" w14:textId="77777777" w:rsidR="00DE30CF" w:rsidRDefault="00270374">
            <w:r>
              <w:t xml:space="preserve">  </w:t>
            </w:r>
            <w:r>
              <w:rPr>
                <w:b/>
              </w:rPr>
              <w:t xml:space="preserve"> </w:t>
            </w:r>
          </w:p>
          <w:p w14:paraId="0A722B5A" w14:textId="77777777" w:rsidR="00DE30CF" w:rsidRDefault="00270374">
            <w:r>
              <w:rPr>
                <w:b/>
              </w:rPr>
              <w:t xml:space="preserve">TO </w:t>
            </w:r>
          </w:p>
          <w:p w14:paraId="58F5DB29" w14:textId="77777777" w:rsidR="00DE30CF" w:rsidRDefault="00270374">
            <w:r>
              <w:rPr>
                <w:b/>
              </w:rPr>
              <w:t xml:space="preserve">FINANCIAL SUPERVISION COMMISSION </w:t>
            </w:r>
          </w:p>
          <w:p w14:paraId="6AE587F6" w14:textId="77777777" w:rsidR="00DE30CF" w:rsidRDefault="00270374">
            <w:r>
              <w:rPr>
                <w:b/>
              </w:rPr>
              <w:t xml:space="preserve"> </w:t>
            </w:r>
          </w:p>
          <w:p w14:paraId="029DE0EE" w14:textId="77777777" w:rsidR="00DE30CF" w:rsidRDefault="00270374">
            <w:r>
              <w:rPr>
                <w:b/>
              </w:rPr>
              <w:t xml:space="preserve">TO </w:t>
            </w:r>
          </w:p>
          <w:p w14:paraId="7DCAC7F9" w14:textId="77777777" w:rsidR="00DE30CF" w:rsidRDefault="00270374">
            <w:r>
              <w:rPr>
                <w:b/>
              </w:rPr>
              <w:t xml:space="preserve">BULGARIAN STOCK EXCHANGE AD </w:t>
            </w:r>
          </w:p>
          <w:p w14:paraId="6766A088" w14:textId="77777777" w:rsidR="00DE30CF" w:rsidRDefault="00270374">
            <w:r>
              <w:rPr>
                <w:b/>
              </w:rPr>
              <w:t xml:space="preserve"> </w:t>
            </w:r>
          </w:p>
          <w:p w14:paraId="672962BC" w14:textId="77777777" w:rsidR="00DE30CF" w:rsidRDefault="00270374">
            <w:r>
              <w:rPr>
                <w:b/>
              </w:rPr>
              <w:t xml:space="preserve">TO </w:t>
            </w:r>
          </w:p>
          <w:p w14:paraId="39BDC4A0" w14:textId="77777777" w:rsidR="00DE30CF" w:rsidRDefault="00270374">
            <w:r>
              <w:rPr>
                <w:b/>
              </w:rPr>
              <w:t xml:space="preserve">THE PUBLIC </w:t>
            </w:r>
          </w:p>
          <w:p w14:paraId="402D1168" w14:textId="77777777" w:rsidR="00DE30CF" w:rsidRDefault="00270374">
            <w:r>
              <w:rPr>
                <w:b/>
              </w:rPr>
              <w:t xml:space="preserve"> </w:t>
            </w:r>
          </w:p>
          <w:p w14:paraId="1C01901C" w14:textId="77777777" w:rsidR="00DE30CF" w:rsidRDefault="00270374">
            <w:r>
              <w:rPr>
                <w:b/>
              </w:rPr>
              <w:t xml:space="preserve"> </w:t>
            </w:r>
          </w:p>
          <w:p w14:paraId="03024709" w14:textId="77777777" w:rsidR="00DE30CF" w:rsidRDefault="00270374">
            <w:r>
              <w:rPr>
                <w:b/>
              </w:rPr>
              <w:t xml:space="preserve"> </w:t>
            </w:r>
          </w:p>
          <w:p w14:paraId="096BD4FA" w14:textId="77777777" w:rsidR="00DE30CF" w:rsidRDefault="00270374">
            <w:r>
              <w:rPr>
                <w:b/>
              </w:rPr>
              <w:t xml:space="preserve"> </w:t>
            </w:r>
          </w:p>
          <w:p w14:paraId="08D630DA" w14:textId="77777777" w:rsidR="00DE30CF" w:rsidRDefault="00270374">
            <w:r>
              <w:rPr>
                <w:b/>
              </w:rPr>
              <w:t xml:space="preserve"> </w:t>
            </w:r>
          </w:p>
          <w:p w14:paraId="1C1CBDE1" w14:textId="77777777" w:rsidR="00DE30CF" w:rsidRDefault="00270374">
            <w:pPr>
              <w:jc w:val="both"/>
            </w:pPr>
            <w:r>
              <w:rPr>
                <w:b/>
                <w:u w:val="single" w:color="000000"/>
              </w:rPr>
              <w:t xml:space="preserve">Legal </w:t>
            </w:r>
            <w:proofErr w:type="spellStart"/>
            <w:r>
              <w:rPr>
                <w:b/>
                <w:u w:val="single" w:color="000000"/>
              </w:rPr>
              <w:t>basis</w:t>
            </w:r>
            <w:proofErr w:type="spellEnd"/>
            <w:r>
              <w:rPr>
                <w:b/>
                <w:u w:val="single" w:color="000000"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Art</w:t>
            </w:r>
            <w:proofErr w:type="spellEnd"/>
            <w:r>
              <w:rPr>
                <w:b/>
              </w:rPr>
              <w:t xml:space="preserve">. 111, </w:t>
            </w:r>
            <w:proofErr w:type="spellStart"/>
            <w:r>
              <w:rPr>
                <w:b/>
              </w:rPr>
              <w:t>par</w:t>
            </w:r>
            <w:proofErr w:type="spellEnd"/>
            <w:r>
              <w:rPr>
                <w:b/>
              </w:rPr>
              <w:t xml:space="preserve">. 6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Offering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Securities </w:t>
            </w:r>
            <w:proofErr w:type="spellStart"/>
            <w:r>
              <w:rPr>
                <w:b/>
              </w:rPr>
              <w:t>Act</w:t>
            </w:r>
            <w:proofErr w:type="spellEnd"/>
            <w:r>
              <w:rPr>
                <w:b/>
              </w:rPr>
              <w:t xml:space="preserve"> </w:t>
            </w:r>
          </w:p>
          <w:p w14:paraId="15AD2F25" w14:textId="77777777" w:rsidR="00DE30CF" w:rsidRDefault="00270374">
            <w:r>
              <w:rPr>
                <w:b/>
              </w:rPr>
              <w:t xml:space="preserve"> </w:t>
            </w:r>
          </w:p>
          <w:p w14:paraId="2FF65930" w14:textId="77777777" w:rsidR="00DE30CF" w:rsidRDefault="00270374">
            <w:r>
              <w:rPr>
                <w:b/>
              </w:rPr>
              <w:t xml:space="preserve"> </w:t>
            </w:r>
          </w:p>
          <w:p w14:paraId="18C84980" w14:textId="77777777" w:rsidR="00DE30CF" w:rsidRDefault="00270374">
            <w:r>
              <w:t xml:space="preserve"> </w:t>
            </w:r>
          </w:p>
          <w:p w14:paraId="56B87CC7" w14:textId="233196AD" w:rsidR="00DE30CF" w:rsidRDefault="00270374">
            <w:pPr>
              <w:spacing w:after="1" w:line="239" w:lineRule="auto"/>
              <w:ind w:right="50"/>
              <w:jc w:val="both"/>
            </w:pPr>
            <w:proofErr w:type="spellStart"/>
            <w:r>
              <w:t>Pursuant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a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regular</w:t>
            </w:r>
            <w:proofErr w:type="spellEnd"/>
            <w:r>
              <w:t xml:space="preserve"> </w:t>
            </w: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general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shareholders</w:t>
            </w:r>
            <w:proofErr w:type="spellEnd"/>
            <w:r>
              <w:t xml:space="preserve">, </w:t>
            </w:r>
            <w:proofErr w:type="spellStart"/>
            <w:r>
              <w:t>held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r w:rsidR="007575F2">
              <w:rPr>
                <w:lang w:val="en-US"/>
              </w:rPr>
              <w:t>19</w:t>
            </w:r>
            <w:r>
              <w:t>.06.202</w:t>
            </w:r>
            <w:r w:rsidR="007575F2">
              <w:rPr>
                <w:lang w:val="en-US"/>
              </w:rPr>
              <w:t xml:space="preserve">4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provision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. 111, </w:t>
            </w:r>
            <w:proofErr w:type="spellStart"/>
            <w:r>
              <w:t>par</w:t>
            </w:r>
            <w:proofErr w:type="spellEnd"/>
            <w:r>
              <w:t xml:space="preserve">. 6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Offering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Securities </w:t>
            </w:r>
            <w:proofErr w:type="spellStart"/>
            <w:r>
              <w:t>Act</w:t>
            </w:r>
            <w:proofErr w:type="spellEnd"/>
            <w:r>
              <w:t xml:space="preserve">,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inform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 </w:t>
            </w:r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 xml:space="preserve"> </w:t>
            </w:r>
            <w:proofErr w:type="spellStart"/>
            <w:r>
              <w:t>Board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TBSG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a </w:t>
            </w:r>
            <w:proofErr w:type="spellStart"/>
            <w:r>
              <w:t>procedure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repurchasing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r w:rsidR="007575F2">
              <w:rPr>
                <w:lang w:val="en-US"/>
              </w:rPr>
              <w:t>25</w:t>
            </w:r>
            <w:r>
              <w:t xml:space="preserve"> 000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shares</w:t>
            </w:r>
            <w:proofErr w:type="spellEnd"/>
            <w:r>
              <w:t xml:space="preserve"> </w:t>
            </w:r>
            <w:proofErr w:type="spellStart"/>
            <w:r>
              <w:t>representing</w:t>
            </w:r>
            <w:proofErr w:type="spellEnd"/>
            <w:r>
              <w:t xml:space="preserve"> 0.</w:t>
            </w:r>
            <w:r w:rsidR="007575F2">
              <w:rPr>
                <w:lang w:val="en-US"/>
              </w:rPr>
              <w:t>2</w:t>
            </w:r>
            <w:r>
              <w:t xml:space="preserve"> %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limit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</w:t>
            </w:r>
            <w:proofErr w:type="spellStart"/>
            <w:r>
              <w:t>art</w:t>
            </w:r>
            <w:proofErr w:type="spellEnd"/>
            <w:r>
              <w:t xml:space="preserve"> 111, </w:t>
            </w:r>
            <w:proofErr w:type="spellStart"/>
            <w:r>
              <w:t>par</w:t>
            </w:r>
            <w:proofErr w:type="spellEnd"/>
            <w:r>
              <w:t xml:space="preserve">. 5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POSA.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investment</w:t>
            </w:r>
            <w:proofErr w:type="spellEnd"/>
            <w:r>
              <w:t xml:space="preserve"> </w:t>
            </w:r>
            <w:proofErr w:type="spellStart"/>
            <w:r>
              <w:t>intermediary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order</w:t>
            </w:r>
            <w:proofErr w:type="spellEnd"/>
            <w:r>
              <w:t xml:space="preserve"> </w:t>
            </w:r>
            <w:r w:rsidR="00515211">
              <w:rPr>
                <w:lang w:val="en-US"/>
              </w:rPr>
              <w:t>will be</w:t>
            </w:r>
            <w:r>
              <w:t xml:space="preserve"> </w:t>
            </w:r>
            <w:proofErr w:type="spellStart"/>
            <w:r>
              <w:t>submitted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Elana</w:t>
            </w:r>
            <w:proofErr w:type="spellEnd"/>
            <w:r>
              <w:t xml:space="preserve"> </w:t>
            </w:r>
            <w:proofErr w:type="spellStart"/>
            <w:r>
              <w:t>Trading</w:t>
            </w:r>
            <w:proofErr w:type="spellEnd"/>
            <w:r>
              <w:t xml:space="preserve"> AD. </w:t>
            </w:r>
          </w:p>
          <w:p w14:paraId="7E97D0DB" w14:textId="77777777" w:rsidR="00DE30CF" w:rsidRDefault="00270374">
            <w:r>
              <w:rPr>
                <w:color w:val="FFFFFF"/>
              </w:rPr>
              <w:t xml:space="preserve"> </w:t>
            </w:r>
          </w:p>
        </w:tc>
      </w:tr>
    </w:tbl>
    <w:p w14:paraId="7007B97C" w14:textId="77777777" w:rsidR="00DE30CF" w:rsidRDefault="0027037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  <w:r>
        <w:rPr>
          <w:rFonts w:ascii="Tw Cen MT" w:eastAsia="Tw Cen MT" w:hAnsi="Tw Cen MT" w:cs="Tw Cen MT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E30CF">
      <w:pgSz w:w="11906" w:h="16838"/>
      <w:pgMar w:top="708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CF"/>
    <w:rsid w:val="00052449"/>
    <w:rsid w:val="00270374"/>
    <w:rsid w:val="00355942"/>
    <w:rsid w:val="003A58EE"/>
    <w:rsid w:val="003B1EC3"/>
    <w:rsid w:val="00473090"/>
    <w:rsid w:val="004B25F4"/>
    <w:rsid w:val="00515211"/>
    <w:rsid w:val="00631525"/>
    <w:rsid w:val="0065395D"/>
    <w:rsid w:val="007575F2"/>
    <w:rsid w:val="00915BBA"/>
    <w:rsid w:val="00C04E24"/>
    <w:rsid w:val="00C62C1D"/>
    <w:rsid w:val="00DE30CF"/>
    <w:rsid w:val="00E36187"/>
    <w:rsid w:val="10AAD998"/>
    <w:rsid w:val="1B3600BF"/>
    <w:rsid w:val="5113E3F9"/>
    <w:rsid w:val="54451E90"/>
    <w:rsid w:val="73F3D4F4"/>
    <w:rsid w:val="753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B91D"/>
  <w15:docId w15:val="{293E9B85-0BC8-4635-972B-FE6858E0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Daskalov</dc:creator>
  <cp:keywords/>
  <cp:lastModifiedBy>Jordanka Klenovska</cp:lastModifiedBy>
  <cp:revision>8</cp:revision>
  <dcterms:created xsi:type="dcterms:W3CDTF">2024-08-09T05:55:00Z</dcterms:created>
  <dcterms:modified xsi:type="dcterms:W3CDTF">2024-08-09T10:16:00Z</dcterms:modified>
</cp:coreProperties>
</file>